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>
        <w:rPr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ФИНАНСОВО-ЭКОНОМИЧЕСКОЕ ОБОСНОВАНИЕ </w:t>
      </w:r>
      <w:r>
        <w:rPr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>
        <w:rPr>
          <w:sz w:val="28"/>
        </w:rPr>
      </w:r>
      <w:r/>
    </w:p>
    <w:p>
      <w:pPr>
        <w:pStyle w:val="812"/>
        <w:jc w:val="both"/>
        <w:spacing w:before="240" w:after="0" w:line="26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lang w:val="en-US" w:eastAsia="en-US"/>
        </w:rPr>
        <w:t xml:space="preserve">проекту постановления администрации города Ставрополя </w:t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02.11.2022 № 2346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sz w:val="28"/>
        </w:rPr>
      </w:r>
      <w:r/>
    </w:p>
    <w:p>
      <w:pPr>
        <w:pStyle w:val="812"/>
        <w:jc w:val="both"/>
        <w:spacing w:after="0" w:line="240" w:lineRule="exac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sz w:val="28"/>
        </w:rPr>
      </w:r>
      <w:r/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02.11.2022 № 2346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(да</w:t>
      </w:r>
      <w:r>
        <w:rPr>
          <w:rFonts w:ascii="Times New Roman" w:hAnsi="Times New Roman" w:eastAsia="Times New Roman"/>
          <w:sz w:val="28"/>
        </w:rPr>
        <w:t xml:space="preserve">лее соответственно – проект постановления, Программа) </w:t>
      </w:r>
      <w:r>
        <w:rPr>
          <w:rFonts w:ascii="Times New Roman" w:hAnsi="Times New Roman" w:eastAsia="Times New Roman"/>
          <w:sz w:val="28"/>
        </w:rPr>
        <w:t xml:space="preserve">подготовлен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соответствии с решением Ставропольской городской Думы от 30 ноября 2022 г. № 134 «О бюджете города Ставрополя на 2023 год и плановый период 2024 и 2025 годов», постановлением администрации города Ставрополя от 26.08.2019</w:t>
      </w:r>
      <w:r>
        <w:rPr>
          <w:rFonts w:ascii="Times New Roman" w:hAnsi="Times New Roman" w:eastAsia="Times New Roman"/>
          <w:sz w:val="28"/>
          <w:szCs w:val="28"/>
        </w:rPr>
        <w:t xml:space="preserve">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Программы вносятся изменения в приложение 1 к Программе «Перечень и общая характеристика мероприятий муниципальной программы «Молодежь города Ставрополя»,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таким образом, объем финансовых средств из бюджета города Ставрополя на реализацию Программы составляет в сумме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105 980,59 тыс. рублей, в том числе: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 год – 17 722,23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 год – 15 730,28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2025 год – 15 732,02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2026 год – 18 932,02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2027 год – 18 932,02 тыс. рублей;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2028 год – 18 932,02 тыс. рублей».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связи с вышеизложенным, считаем необходимым принятие данного проекта постановления.</w:t>
      </w:r>
      <w:r/>
    </w:p>
    <w:p>
      <w:pPr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</w:rPr>
      </w:r>
      <w:r/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8"/>
          <w:szCs w:val="27"/>
        </w:rPr>
      </w:pPr>
      <w:r>
        <w:rPr>
          <w:rFonts w:ascii="Times New Roman" w:hAnsi="Times New Roman" w:eastAsia="Times New Roman"/>
          <w:sz w:val="28"/>
          <w:szCs w:val="27"/>
          <w:lang w:eastAsia="ru-RU"/>
        </w:rPr>
      </w:r>
      <w:r>
        <w:rPr>
          <w:sz w:val="28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8"/>
          <w:szCs w:val="28"/>
        </w:rPr>
      </w:pP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Руководитель комитета </w:t>
      </w:r>
      <w:r>
        <w:rPr>
          <w:sz w:val="28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8"/>
          <w:szCs w:val="28"/>
        </w:rPr>
      </w:pP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культуры и молодежной политики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sz w:val="28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Н.П. Головин </w:t>
      </w:r>
      <w:r>
        <w:rPr>
          <w:rFonts w:ascii="Times New Roman" w:hAnsi="Times New Roman" w:cs="Courier New" w:eastAsia="Times New Roman"/>
          <w:sz w:val="28"/>
          <w:szCs w:val="28"/>
          <w:lang w:eastAsia="ru-RU"/>
        </w:rPr>
        <w:t xml:space="preserve">  </w:t>
      </w:r>
      <w:r>
        <w:rPr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8"/>
          <w:szCs w:val="20"/>
        </w:rPr>
      </w:pPr>
      <w:r>
        <w:rPr>
          <w:rFonts w:ascii="Times New Roman" w:hAnsi="Times New Roman" w:cs="Courier New" w:eastAsia="Times New Roman"/>
          <w:sz w:val="28"/>
          <w:szCs w:val="20"/>
        </w:rPr>
      </w:r>
      <w:r>
        <w:rPr>
          <w:rFonts w:ascii="Times New Roman" w:hAnsi="Times New Roman" w:cs="Courier New" w:eastAsia="Times New Roman"/>
          <w:sz w:val="28"/>
          <w:szCs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</w:r>
      <w:r>
        <w:rPr>
          <w:sz w:val="20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В.А.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Авакян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  <w:r/>
    </w:p>
    <w:p>
      <w:pPr>
        <w:jc w:val="both"/>
        <w:spacing w:after="0" w:line="240" w:lineRule="exact"/>
        <w:rPr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998-280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284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Calibri" w:hAnsi="Calibri" w:cs="Times New Roman" w:eastAsia="Calibri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revision>20</cp:revision>
  <dcterms:created xsi:type="dcterms:W3CDTF">2020-11-05T06:49:00Z</dcterms:created>
  <dcterms:modified xsi:type="dcterms:W3CDTF">2023-02-27T06:35:54Z</dcterms:modified>
</cp:coreProperties>
</file>