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  <w:outlineLvl w:val="0"/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  <w:r>
        <w:rPr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  <w:outlineLvl w:val="0"/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ФИНАНСОВО-ЭКОНОМИЧЕСКОЕ ОБОСНОВАНИЕ </w:t>
      </w:r>
      <w:r>
        <w:rPr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  <w:outlineLvl w:val="0"/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  <w:r>
        <w:rPr>
          <w:sz w:val="28"/>
        </w:rPr>
      </w:r>
      <w:r/>
    </w:p>
    <w:p>
      <w:pPr>
        <w:pStyle w:val="812"/>
        <w:jc w:val="both"/>
        <w:spacing w:before="240" w:after="0" w:line="2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к </w:t>
      </w:r>
      <w:r>
        <w:rPr>
          <w:rFonts w:ascii="Times New Roman" w:hAnsi="Times New Roman" w:eastAsia="Times New Roman"/>
          <w:sz w:val="28"/>
          <w:szCs w:val="28"/>
          <w:lang w:val="en-US" w:eastAsia="en-US"/>
        </w:rPr>
        <w:t xml:space="preserve">проекту постановления администрации города Ставрополя </w:t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02.11.2022 № 2346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утверждении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униципальной программы «Молодежь города Ставрополя»</w:t>
      </w:r>
      <w:r>
        <w:rPr>
          <w:sz w:val="28"/>
        </w:rPr>
      </w:r>
      <w:r/>
    </w:p>
    <w:p>
      <w:pPr>
        <w:pStyle w:val="812"/>
        <w:jc w:val="both"/>
        <w:spacing w:after="0" w:line="240" w:lineRule="exac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sz w:val="28"/>
        </w:rPr>
      </w:r>
      <w:r/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02.11.2022 № 2346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«Об утверждении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униципальной программы «Молодежь города Ставрополя»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(да</w:t>
      </w:r>
      <w:r>
        <w:rPr>
          <w:rFonts w:ascii="Times New Roman" w:hAnsi="Times New Roman" w:eastAsia="Times New Roman"/>
          <w:sz w:val="28"/>
        </w:rPr>
        <w:t xml:space="preserve">лее соответственно – проект постановления, Программа) </w:t>
      </w:r>
      <w:r>
        <w:rPr>
          <w:rFonts w:ascii="Times New Roman" w:hAnsi="Times New Roman" w:eastAsia="Times New Roman"/>
          <w:sz w:val="28"/>
        </w:rPr>
        <w:t xml:space="preserve">подготовлен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соответствии с решением Ставропольской городской Думы от 3</w:t>
      </w:r>
      <w:r>
        <w:rPr>
          <w:rFonts w:ascii="Times New Roman" w:hAnsi="Times New Roman" w:eastAsia="Times New Roman"/>
          <w:sz w:val="28"/>
          <w:szCs w:val="28"/>
        </w:rPr>
        <w:t xml:space="preserve">0 ноября 2022 г. № 134 «О бюджете города Ставрополя на 2023 год и плановый период 2024 и 2025 годов» </w:t>
      </w:r>
      <w:r>
        <w:rPr>
          <w:rFonts w:ascii="Times New Roman" w:hAnsi="Times New Roman" w:eastAsia="Times New Roman"/>
          <w:sz w:val="28"/>
          <w:szCs w:val="28"/>
        </w:rPr>
        <w:t xml:space="preserve">(с учётом изменений, внесенных решением Ставропольской городской Думы от 25.01.2023 №155, </w:t>
        <w:br/>
        <w:t xml:space="preserve">от 15.02.2023 г. № 159)</w:t>
      </w:r>
      <w:r>
        <w:rPr>
          <w:rFonts w:ascii="Times New Roman" w:hAnsi="Times New Roman" w:eastAsia="Times New Roman"/>
          <w:sz w:val="28"/>
          <w:szCs w:val="28"/>
        </w:rPr>
        <w:t xml:space="preserve">, постановлением администрации города Ставрополя </w:t>
        <w:br/>
        <w:t xml:space="preserve">от 26.08.2019</w:t>
      </w:r>
      <w:r>
        <w:rPr>
          <w:rFonts w:ascii="Times New Roman" w:hAnsi="Times New Roman" w:eastAsia="Times New Roman"/>
          <w:sz w:val="28"/>
          <w:szCs w:val="28"/>
        </w:rPr>
        <w:t xml:space="preserve"> № 2382 «О Порядке принятия решения о разработке муниципальных программ, их формирования и реализации», в целях уточнения объемов финансирования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Программы вносятся изменения в приложение 1 к Программе «Перечень и общая характеристика мероприятий муниципальной программы «Молодежь города Ставрополя»,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общий объем финансовых средств Программы соответствует предельным объёмам финансирования на 2023 год и плановый период 2024-2025 годов и составляет 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124 749,99 тыс. рублей,в том числе: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 год – 25 846,83 тыс. рублей;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2024 год – 17 859,24 тыс. рублей;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2025 год – 17 860,98 тыс. рублей;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2026 год – 21 060,98 тыс. рублей;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2027 год – 21 060,98 тыс. рублей;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2028 год – 21 060,98 тыс. рублей».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связи с вышеизложенным, считаем необходимым принятие данного проекта постановления.</w:t>
      </w:r>
      <w:r/>
    </w:p>
    <w:p>
      <w:pPr>
        <w:contextualSpacing/>
        <w:ind w:left="69" w:right="-2" w:firstLine="64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sz w:val="28"/>
        </w:rPr>
      </w:r>
      <w:r/>
    </w:p>
    <w:p>
      <w:pPr>
        <w:contextualSpacing/>
        <w:ind w:right="-2" w:firstLine="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8"/>
          <w:szCs w:val="27"/>
        </w:rPr>
      </w:pPr>
      <w:r>
        <w:rPr>
          <w:rFonts w:ascii="Times New Roman" w:hAnsi="Times New Roman" w:eastAsia="Times New Roman"/>
          <w:sz w:val="28"/>
          <w:szCs w:val="27"/>
        </w:rPr>
      </w:r>
      <w:r>
        <w:rPr>
          <w:rFonts w:ascii="Times New Roman" w:hAnsi="Times New Roman" w:eastAsia="Times New Roman"/>
          <w:sz w:val="28"/>
          <w:szCs w:val="27"/>
        </w:rPr>
      </w:r>
      <w:r/>
    </w:p>
    <w:p>
      <w:pPr>
        <w:contextualSpacing/>
        <w:ind w:right="-2" w:firstLine="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8"/>
          <w:szCs w:val="27"/>
        </w:rPr>
      </w:pPr>
      <w:r>
        <w:rPr>
          <w:rFonts w:ascii="Times New Roman" w:hAnsi="Times New Roman" w:eastAsia="Times New Roman"/>
          <w:sz w:val="28"/>
          <w:szCs w:val="27"/>
        </w:rPr>
      </w:r>
      <w:r>
        <w:rPr>
          <w:rFonts w:ascii="Times New Roman" w:hAnsi="Times New Roman" w:eastAsia="Times New Roman"/>
          <w:sz w:val="28"/>
          <w:szCs w:val="27"/>
        </w:rPr>
      </w:r>
      <w:r/>
    </w:p>
    <w:p>
      <w:pPr>
        <w:contextualSpacing/>
        <w:ind w:right="-2" w:firstLine="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8"/>
          <w:szCs w:val="27"/>
        </w:rPr>
      </w:pPr>
      <w:r>
        <w:rPr>
          <w:rFonts w:ascii="Times New Roman" w:hAnsi="Times New Roman" w:eastAsia="Times New Roman"/>
          <w:sz w:val="28"/>
          <w:szCs w:val="27"/>
          <w:lang w:eastAsia="ru-RU"/>
        </w:rPr>
      </w:r>
      <w:r>
        <w:rPr>
          <w:sz w:val="28"/>
        </w:rPr>
      </w:r>
      <w:r/>
    </w:p>
    <w:p>
      <w:pPr>
        <w:jc w:val="both"/>
        <w:spacing w:after="0" w:line="260" w:lineRule="exact"/>
        <w:rPr>
          <w:rFonts w:ascii="Times New Roman" w:hAnsi="Times New Roman" w:cs="Courier New" w:eastAsia="Times New Roman"/>
          <w:sz w:val="28"/>
          <w:szCs w:val="28"/>
        </w:rPr>
      </w:pP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Руководитель комитета </w:t>
      </w:r>
      <w:r>
        <w:rPr>
          <w:sz w:val="28"/>
        </w:rPr>
      </w:r>
      <w:r/>
    </w:p>
    <w:p>
      <w:pPr>
        <w:jc w:val="both"/>
        <w:spacing w:after="0" w:line="260" w:lineRule="exact"/>
        <w:rPr>
          <w:rFonts w:ascii="Times New Roman" w:hAnsi="Times New Roman" w:cs="Courier New" w:eastAsia="Times New Roman"/>
          <w:sz w:val="28"/>
          <w:szCs w:val="28"/>
        </w:rPr>
      </w:pP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культуры и молодежной политики </w:t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ab/>
      </w:r>
      <w:r>
        <w:rPr>
          <w:sz w:val="28"/>
        </w:rPr>
      </w:r>
      <w:r/>
    </w:p>
    <w:p>
      <w:pPr>
        <w:jc w:val="both"/>
        <w:spacing w:after="0" w:line="26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администрации города Ставрополя </w:t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       Н.П. Головин </w:t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  </w:t>
      </w:r>
      <w:r>
        <w:rPr>
          <w:sz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sz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sz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0"/>
          <w:szCs w:val="20"/>
        </w:rPr>
      </w:pPr>
      <w:r>
        <w:rPr>
          <w:rFonts w:ascii="Times New Roman" w:hAnsi="Times New Roman" w:cs="Courier New" w:eastAsia="Times New Roman"/>
          <w:sz w:val="20"/>
          <w:szCs w:val="20"/>
          <w:lang w:eastAsia="ru-RU"/>
        </w:rPr>
      </w:r>
      <w:r>
        <w:rPr>
          <w:sz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0"/>
          <w:szCs w:val="20"/>
        </w:rPr>
      </w:pP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В.А. 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Авакян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 </w:t>
      </w:r>
      <w:r>
        <w:rPr>
          <w:sz w:val="20"/>
        </w:rPr>
      </w:r>
      <w:r/>
    </w:p>
    <w:p>
      <w:pPr>
        <w:jc w:val="both"/>
        <w:spacing w:after="0" w:line="240" w:lineRule="exact"/>
        <w:rPr>
          <w:sz w:val="20"/>
          <w:szCs w:val="20"/>
        </w:rPr>
      </w:pP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998-280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 </w:t>
      </w:r>
      <w:r>
        <w:rPr>
          <w:sz w:val="20"/>
        </w:rPr>
      </w:r>
      <w:r/>
    </w:p>
    <w:sectPr>
      <w:footnotePr/>
      <w:endnotePr/>
      <w:type w:val="nextPage"/>
      <w:pgSz w:w="11906" w:h="16838" w:orient="portrait"/>
      <w:pgMar w:top="284" w:right="566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ascii="Calibri" w:hAnsi="Calibri" w:cs="Times New Roman" w:eastAsia="Calibri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revision>24</cp:revision>
  <dcterms:created xsi:type="dcterms:W3CDTF">2020-11-05T06:49:00Z</dcterms:created>
  <dcterms:modified xsi:type="dcterms:W3CDTF">2023-07-17T07:06:44Z</dcterms:modified>
</cp:coreProperties>
</file>