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spacing w:line="240" w:lineRule="exact"/>
        <w:tabs>
          <w:tab w:val="left" w:pos="11907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</w:t>
      </w:r>
      <w:r/>
    </w:p>
    <w:p>
      <w:pPr>
        <w:pStyle w:val="837"/>
        <w:jc w:val="center"/>
        <w:spacing w:line="240" w:lineRule="exact"/>
        <w:tabs>
          <w:tab w:val="left" w:pos="11907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37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</w:t>
      </w:r>
      <w:r/>
    </w:p>
    <w:p>
      <w:pPr>
        <w:pStyle w:val="837"/>
        <w:jc w:val="right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«Молодежь города Ставрополя»</w:t>
      </w:r>
      <w:r/>
    </w:p>
    <w:p>
      <w:pPr>
        <w:pStyle w:val="8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20"/>
        <w:jc w:val="center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center" w:pos="7503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495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/>
      <w:bookmarkStart w:id="0" w:name="P230"/>
      <w:r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И ОБЩАЯ ХАРАКТЕРИСТИКА </w:t>
      </w:r>
      <w:r/>
    </w:p>
    <w:p>
      <w:pPr>
        <w:ind w:firstLine="720"/>
        <w:jc w:val="center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 муниципальной программы «Молодежь города Ставрополя» </w:t>
      </w:r>
      <w:r/>
    </w:p>
    <w:p>
      <w:pPr>
        <w:ind w:firstLine="720"/>
        <w:jc w:val="center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</w:r>
      <w:r/>
    </w:p>
    <w:tbl>
      <w:tblPr>
        <w:tblW w:w="15939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4"/>
        <w:gridCol w:w="2330"/>
        <w:gridCol w:w="1984"/>
        <w:gridCol w:w="2124"/>
        <w:gridCol w:w="860"/>
        <w:gridCol w:w="993"/>
        <w:gridCol w:w="993"/>
        <w:gridCol w:w="851"/>
        <w:gridCol w:w="991"/>
        <w:gridCol w:w="991"/>
        <w:gridCol w:w="992"/>
        <w:gridCol w:w="2266"/>
      </w:tblGrid>
      <w:tr>
        <w:trPr/>
        <w:tc>
          <w:tcPr>
            <w:tcW w:w="5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lang w:eastAsia="ru-RU"/>
              </w:rPr>
              <w:t xml:space="preserve">№ п/п</w:t>
            </w:r>
            <w:r>
              <w:rPr>
                <w:sz w:val="21"/>
              </w:rPr>
            </w:r>
            <w:r/>
          </w:p>
        </w:tc>
        <w:tc>
          <w:tcPr>
            <w:tcW w:w="233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lang w:eastAsia="ru-RU"/>
              </w:rPr>
              <w:t xml:space="preserve">Наименование основного мероприятия (мероприятия)</w:t>
            </w:r>
            <w:r>
              <w:rPr>
                <w:sz w:val="21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lang w:eastAsia="ru-RU"/>
              </w:rPr>
              <w:t xml:space="preserve">Ответственный исполнитель, соисполнители</w:t>
            </w:r>
            <w:r>
              <w:rPr>
                <w:sz w:val="21"/>
              </w:rPr>
            </w:r>
            <w:r/>
          </w:p>
        </w:tc>
        <w:tc>
          <w:tcPr>
            <w:tcW w:w="21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lang w:eastAsia="ru-RU"/>
              </w:rPr>
              <w:t xml:space="preserve">Обоснование выделения основного мероприятия (мероприятия)</w:t>
            </w:r>
            <w:r>
              <w:rPr>
                <w:sz w:val="21"/>
              </w:rPr>
            </w:r>
            <w:r/>
          </w:p>
        </w:tc>
        <w:tc>
          <w:tcPr>
            <w:tcW w:w="8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lang w:eastAsia="ru-RU"/>
              </w:rPr>
              <w:t xml:space="preserve">Срок испол</w:t>
              <w:br/>
              <w:t xml:space="preserve">нения (годы)</w:t>
            </w:r>
            <w:r>
              <w:rPr>
                <w:sz w:val="21"/>
              </w:rPr>
            </w:r>
            <w:r/>
          </w:p>
        </w:tc>
        <w:tc>
          <w:tcPr>
            <w:gridSpan w:val="6"/>
            <w:tcW w:w="581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lang w:eastAsia="ru-RU"/>
              </w:rPr>
              <w:t xml:space="preserve">Объем и источники финансирования (тыс. рублей)</w:t>
            </w:r>
            <w:r>
              <w:rPr>
                <w:sz w:val="21"/>
              </w:rPr>
            </w:r>
            <w:r/>
          </w:p>
        </w:tc>
        <w:tc>
          <w:tcPr>
            <w:tcW w:w="22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lang w:eastAsia="ru-RU"/>
              </w:rPr>
              <w:t xml:space="preserve">Взаимосвязь с показателями (индикаторами)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tcW w:w="5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23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21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8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/>
          </w:p>
        </w:tc>
        <w:tc>
          <w:tcPr>
            <w:gridSpan w:val="6"/>
            <w:tcW w:w="5811" w:type="dxa"/>
            <w:textDirection w:val="lrTb"/>
            <w:noWrap w:val="false"/>
          </w:tcPr>
          <w:p>
            <w:pPr>
              <w:pStyle w:val="837"/>
              <w:jc w:val="center"/>
              <w:spacing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Theme="minorHAnsi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1"/>
                <w:szCs w:val="22"/>
              </w:rPr>
              <w:t xml:space="preserve">в том числе по годам:</w:t>
            </w:r>
            <w:r>
              <w:rPr>
                <w:sz w:val="21"/>
              </w:rPr>
            </w:r>
            <w:r/>
          </w:p>
        </w:tc>
        <w:tc>
          <w:tcPr>
            <w:tcW w:w="22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/>
          </w:p>
        </w:tc>
      </w:tr>
      <w:tr>
        <w:trPr/>
        <w:tc>
          <w:tcPr>
            <w:tcW w:w="5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23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21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8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spacing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Theme="minorHAnsi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1"/>
                <w:szCs w:val="22"/>
              </w:rPr>
              <w:t xml:space="preserve">2020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spacing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Theme="minorHAnsi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1"/>
                <w:szCs w:val="22"/>
              </w:rPr>
              <w:t xml:space="preserve">2021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spacing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Theme="minorHAnsi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1"/>
                <w:szCs w:val="22"/>
              </w:rPr>
              <w:t xml:space="preserve">2022</w:t>
            </w:r>
            <w:r>
              <w:rPr>
                <w:sz w:val="21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spacing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Theme="minorHAnsi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1"/>
                <w:szCs w:val="22"/>
              </w:rPr>
              <w:t xml:space="preserve">2023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spacing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Theme="minorHAnsi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1"/>
                <w:szCs w:val="22"/>
              </w:rPr>
              <w:t xml:space="preserve">2024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spacing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Theme="minorHAnsi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1"/>
                <w:szCs w:val="22"/>
              </w:rPr>
              <w:t xml:space="preserve">2025</w:t>
            </w:r>
            <w:r/>
          </w:p>
        </w:tc>
        <w:tc>
          <w:tcPr>
            <w:tcW w:w="22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209"/>
        </w:trPr>
        <w:tc>
          <w:tcPr>
            <w:tcW w:w="564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lang w:eastAsia="ru-RU"/>
              </w:rPr>
              <w:t xml:space="preserve">1</w:t>
            </w:r>
            <w:r>
              <w:rPr>
                <w:sz w:val="21"/>
              </w:rPr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Calibri"/>
                <w:sz w:val="21"/>
                <w:szCs w:val="20"/>
              </w:rPr>
            </w:pPr>
            <w:r>
              <w:rPr>
                <w:rFonts w:ascii="Times New Roman" w:hAnsi="Times New Roman" w:cs="Times New Roman" w:eastAsia="Calibri"/>
                <w:sz w:val="21"/>
                <w:szCs w:val="20"/>
                <w:lang w:eastAsia="ru-RU"/>
              </w:rPr>
              <w:t xml:space="preserve">2</w:t>
            </w:r>
            <w:r>
              <w:rPr>
                <w:sz w:val="21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Calibri"/>
                <w:sz w:val="21"/>
                <w:szCs w:val="20"/>
              </w:rPr>
            </w:pPr>
            <w:r>
              <w:rPr>
                <w:rFonts w:ascii="Times New Roman" w:hAnsi="Times New Roman" w:cs="Times New Roman" w:eastAsia="Calibri"/>
                <w:sz w:val="21"/>
                <w:szCs w:val="20"/>
                <w:lang w:eastAsia="ru-RU"/>
              </w:rPr>
              <w:t xml:space="preserve">3</w:t>
            </w:r>
            <w:r>
              <w:rPr>
                <w:sz w:val="21"/>
              </w:rPr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Calibri"/>
                <w:sz w:val="21"/>
                <w:szCs w:val="20"/>
              </w:rPr>
            </w:pPr>
            <w:r>
              <w:rPr>
                <w:rFonts w:ascii="Times New Roman" w:hAnsi="Times New Roman" w:cs="Times New Roman" w:eastAsia="Calibri"/>
                <w:sz w:val="21"/>
                <w:szCs w:val="20"/>
                <w:lang w:eastAsia="ru-RU"/>
              </w:rPr>
              <w:t xml:space="preserve">4</w:t>
            </w:r>
            <w:r>
              <w:rPr>
                <w:sz w:val="21"/>
              </w:rPr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Calibri"/>
                <w:sz w:val="21"/>
                <w:szCs w:val="20"/>
              </w:rPr>
            </w:pPr>
            <w:r>
              <w:rPr>
                <w:rFonts w:ascii="Times New Roman" w:hAnsi="Times New Roman" w:cs="Times New Roman" w:eastAsia="Calibri"/>
                <w:sz w:val="21"/>
                <w:szCs w:val="20"/>
                <w:lang w:eastAsia="ru-RU"/>
              </w:rPr>
              <w:t xml:space="preserve">5</w:t>
            </w:r>
            <w:r>
              <w:rPr>
                <w:sz w:val="21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Calibri"/>
                <w:sz w:val="21"/>
                <w:szCs w:val="20"/>
              </w:rPr>
            </w:pPr>
            <w:r>
              <w:rPr>
                <w:rFonts w:ascii="Times New Roman" w:hAnsi="Times New Roman" w:cs="Times New Roman" w:eastAsia="Calibri"/>
                <w:sz w:val="21"/>
                <w:szCs w:val="20"/>
                <w:lang w:eastAsia="ru-RU"/>
              </w:rPr>
              <w:t xml:space="preserve">6</w:t>
            </w:r>
            <w:r>
              <w:rPr>
                <w:sz w:val="21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Calibri"/>
                <w:sz w:val="21"/>
                <w:szCs w:val="20"/>
              </w:rPr>
            </w:pPr>
            <w:r>
              <w:rPr>
                <w:rFonts w:ascii="Times New Roman" w:hAnsi="Times New Roman" w:cs="Times New Roman" w:eastAsia="Calibri"/>
                <w:sz w:val="21"/>
                <w:szCs w:val="20"/>
                <w:lang w:eastAsia="ru-RU"/>
              </w:rPr>
              <w:t xml:space="preserve">7</w:t>
            </w:r>
            <w:r>
              <w:rPr>
                <w:sz w:val="21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Calibri"/>
                <w:sz w:val="21"/>
                <w:szCs w:val="20"/>
              </w:rPr>
            </w:pPr>
            <w:r>
              <w:rPr>
                <w:rFonts w:ascii="Times New Roman" w:hAnsi="Times New Roman" w:cs="Times New Roman" w:eastAsia="Calibri"/>
                <w:sz w:val="21"/>
                <w:szCs w:val="20"/>
                <w:lang w:eastAsia="ru-RU"/>
              </w:rPr>
              <w:t xml:space="preserve">8</w:t>
            </w:r>
            <w:r>
              <w:rPr>
                <w:sz w:val="21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Calibri"/>
                <w:sz w:val="21"/>
                <w:szCs w:val="20"/>
              </w:rPr>
            </w:pPr>
            <w:r>
              <w:rPr>
                <w:rFonts w:ascii="Times New Roman" w:hAnsi="Times New Roman" w:cs="Times New Roman" w:eastAsia="Calibri"/>
                <w:sz w:val="21"/>
                <w:szCs w:val="20"/>
                <w:lang w:eastAsia="ru-RU"/>
              </w:rPr>
              <w:t xml:space="preserve">9</w:t>
            </w:r>
            <w:r>
              <w:rPr>
                <w:sz w:val="21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Calibri"/>
                <w:sz w:val="21"/>
                <w:szCs w:val="20"/>
              </w:rPr>
            </w:pPr>
            <w:r>
              <w:rPr>
                <w:rFonts w:ascii="Times New Roman" w:hAnsi="Times New Roman" w:cs="Times New Roman" w:eastAsia="Calibri"/>
                <w:sz w:val="21"/>
                <w:szCs w:val="20"/>
                <w:lang w:eastAsia="ru-RU"/>
              </w:rPr>
              <w:t xml:space="preserve">10</w:t>
            </w:r>
            <w:r>
              <w:rPr>
                <w:sz w:val="21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Calibri"/>
                <w:sz w:val="21"/>
                <w:szCs w:val="20"/>
              </w:rPr>
            </w:pPr>
            <w:r>
              <w:rPr>
                <w:rFonts w:ascii="Times New Roman" w:hAnsi="Times New Roman" w:cs="Times New Roman" w:eastAsia="Calibri"/>
                <w:sz w:val="21"/>
                <w:szCs w:val="20"/>
                <w:lang w:eastAsia="ru-RU"/>
              </w:rPr>
              <w:t xml:space="preserve">11</w:t>
            </w:r>
            <w:r>
              <w:rPr>
                <w:sz w:val="21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lang w:eastAsia="ru-RU"/>
              </w:rPr>
              <w:t xml:space="preserve">12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gridSpan w:val="11"/>
            <w:tcW w:w="13673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 w:val="21"/>
                <w:szCs w:val="22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Цель «Создание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развитию молодежных общественных организаций»</w:t>
            </w:r>
            <w:r>
              <w:rPr>
                <w:sz w:val="21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pPr>
            <w:r>
              <w:rPr>
                <w:sz w:val="21"/>
              </w:rPr>
            </w:r>
            <w:hyperlink w:tooltip="#P600" w:anchor="P600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2"/>
                </w:rPr>
                <w:t xml:space="preserve">пункты 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 - </w:t>
            </w:r>
            <w:hyperlink w:tooltip="#P623" w:anchor="P623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2"/>
                </w:rPr>
                <w:t xml:space="preserve">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 таблицы приложения 2 к муниципальной программе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gridSpan w:val="12"/>
            <w:tcW w:w="1593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 w:val="21"/>
                <w:szCs w:val="22"/>
              </w:rPr>
              <w:outlineLvl w:val="3"/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Задача 1 «Интеграция молодежи в процессы социально-экономического, общественно-политического, культурного развития города Ставрополя»</w:t>
            </w:r>
            <w:r>
              <w:rPr>
                <w:sz w:val="21"/>
              </w:rPr>
            </w:r>
            <w:r/>
          </w:p>
        </w:tc>
      </w:tr>
      <w:tr>
        <w:trPr/>
        <w:tc>
          <w:tcPr>
            <w:gridSpan w:val="2"/>
            <w:tcW w:w="289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Основное мероприятие 1. Проведение мероприятий по гражданскому и патриотическому воспитанию молодежи</w:t>
            </w:r>
            <w:r>
              <w:rPr>
                <w:sz w:val="21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sz w:val="21"/>
              </w:rPr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формирование у молодых людей уважения к истории Российской Федерации, позитивного отношения к службе в рядах Вооруженных Сил Российской Федерации, </w:t>
            </w:r>
            <w:r>
              <w:rPr>
                <w:sz w:val="21"/>
              </w:rPr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2020 - 2025</w:t>
            </w:r>
            <w:r>
              <w:rPr>
                <w:sz w:val="21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1182,25</w:t>
            </w:r>
            <w:r>
              <w:rPr>
                <w:sz w:val="21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852,00</w:t>
            </w:r>
            <w:r>
              <w:rPr>
                <w:sz w:val="21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9722,00</w:t>
            </w:r>
            <w:r>
              <w:rPr>
                <w:sz w:val="21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852,00</w:t>
            </w:r>
            <w:r>
              <w:rPr>
                <w:sz w:val="21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852,00</w:t>
            </w:r>
            <w:r>
              <w:rPr>
                <w:sz w:val="21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852,00</w:t>
            </w:r>
            <w:r>
              <w:rPr>
                <w:sz w:val="21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pPr>
            <w:r>
              <w:rPr>
                <w:sz w:val="21"/>
              </w:rPr>
            </w:r>
            <w:hyperlink w:tooltip="#P636" w:anchor="P636" w:history="1"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2"/>
                </w:rPr>
                <w:t xml:space="preserve">пункты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1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таблицы приложения 2 к муниципальной программе</w:t>
            </w:r>
            <w:r>
              <w:rPr>
                <w:sz w:val="21"/>
              </w:rPr>
            </w:r>
            <w:r/>
          </w:p>
        </w:tc>
      </w:tr>
      <w:tr>
        <w:trPr>
          <w:trHeight w:val="30"/>
        </w:trPr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9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11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12</w:t>
            </w:r>
            <w:r/>
          </w:p>
        </w:tc>
      </w:tr>
      <w:tr>
        <w:trPr/>
        <w:tc>
          <w:tcPr>
            <w:gridSpan w:val="2"/>
            <w:tcW w:w="289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подготовка к защите Отечества, развитие системы военно-патриотического воспитания, п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оддержка военно-патриотических клубов и объединений, повышение уровня толерантности в молодежной среде, пропаганда здорового образа жизни среди молодежи, вовлечение в общественную жизнь города Ставрополя молодых людей с ограниченными возможностями здоровья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военно-патриотических мероприятий, направленных на подготовку молодежи к службе в рядах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подготовка к защите Отечества и формирование позитивного отношения к службе в рядах 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290,00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290,00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290,00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290,00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290,00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290,00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36" w:anchor="P636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таблицы приложения 2 к муниципальной программе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6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Вооруженных Сил Российской Федерации, поддержка военно-патриотических клубов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Вооруженных Сил Российской Федерации, поддержка военно-патриотических клубов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мероприятий, формирующих национальную идентичность, направленных на профилактику экстремизма и национализма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формирование национальной идентичности, профилактика межнациональных конфликтов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162,00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162,00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162,00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162,00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162,00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162,00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36" w:anchor="P636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таблицы приложения 2 к муниципальной программе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мероприятий, направленных на увековечивание памяти о Великой Отечественной войне 1941 - 1945 годов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формирование у молодых людей уважения к истории Российской Федерации, недопущение фальсификации истории Российской Федерации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530,25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200,00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36" w:anchor="P636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таблицы приложения 2 к муниципальной программе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мероприятий, направленных на отказ от асоциальных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пропаганда здорового образа жизни молодежи, профилактика 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36" w:anchor="P636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таблицы приложения 2 к муниципальной программе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6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привычек и формирование позитивного имиджа здорового образа жизни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асоциальных привычек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мероприятий, направленных на включение молодых людей с ограниченными возможностями здоровья в общественную жизнь города Ставрополя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социальная адаптация молодых людей с ограниченными возможностями здоровья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170,00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36" w:anchor="P636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таблицы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приложения 2 к муниципальной программе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мероприятий, направленных на обеспечение участия работающих молодых людей в общественной жизни города Ставрополя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поддержка работающей молодежи, ее интеграция в социально-культурное пространство города Ставрополя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100,00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36" w:anchor="P636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таблицы приложения 2 к муниципальной программе</w:t>
            </w:r>
            <w:r/>
          </w:p>
        </w:tc>
      </w:tr>
      <w:tr>
        <w:trPr/>
        <w:tc>
          <w:tcPr>
            <w:gridSpan w:val="2"/>
            <w:tcW w:w="289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Основное мероприятие 2. Создание системы поддержки и поощрения талантливой и успешной молодежи города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поддержка инициативной, талантливой и одаренной молодежи, развитие 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27,04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4927,0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4981,04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4927,04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4927,04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4927,04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36" w:anchor="P636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таблицы приложения 2 к муниципальной программе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9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11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12</w:t>
            </w:r>
            <w:r/>
          </w:p>
        </w:tc>
      </w:tr>
      <w:tr>
        <w:trPr/>
        <w:tc>
          <w:tcPr>
            <w:gridSpan w:val="2"/>
            <w:tcW w:w="289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Ставрополя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творческих и интеллектуальных способностей молодежи, создание условий для гармоничного развития личности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мероприятий, направленных на досуговую занятость молодежи и поддержку творчества молодежи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поддержка талантливой и одаренной молодежи, развитие молодежного творчества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1073,00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1073,00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1527,04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1073,00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1073,00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1073,00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36" w:anchor="P636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таблицы приложения 2 к муниципальной программе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Развитие движения КВН в городе Ставрополе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раскрытие творческих способностей молодежи, привлечение молодежи к участию в движении КВН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500,00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36" w:anchor="P636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таблицы приложения 2 к муниципальной программе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9.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Участие в подготовке и проведении мероприятий, направленных на поддержку молодежной субкультуры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поддержка молодежной субкультуры, развитие новых, популярных в молодежной среде форм творчества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120,00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120,00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120,00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120,00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120,00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120,00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36" w:anchor="P636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таблицы приложения 2 к муниципальной программе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9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11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12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стимулирование талантливой и одаренной молодежи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3134,04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3134,0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3134,00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3134,04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3134,04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3134,04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36" w:anchor="P636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таблицы приложения 2 к муниципальной программе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11.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мероприятий, направленных на интеллектуальное развитие молодежи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популяризация интеллектуального развития молодежи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100,00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36" w:anchor="P636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таблицы приложения 2 к муниципальной программе</w:t>
            </w:r>
            <w:r/>
          </w:p>
        </w:tc>
      </w:tr>
      <w:tr>
        <w:trPr/>
        <w:tc>
          <w:tcPr>
            <w:gridSpan w:val="12"/>
            <w:tcW w:w="1593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  <w:outlineLvl w:val="3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Задача 2 «Развитие инфраструктуры по работе с молодежью»</w:t>
            </w:r>
            <w:r/>
          </w:p>
        </w:tc>
      </w:tr>
      <w:tr>
        <w:trPr/>
        <w:tc>
          <w:tcPr>
            <w:gridSpan w:val="2"/>
            <w:tcW w:w="289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Основное мероприятие 3. Формирование условий для реализации молодежных инициатив и развития деятельности молодежных объединений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поддержка реализации социальных проектов, повышение эффективности работы общественных объединений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730,00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730,00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2129,00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730,00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730,00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730,00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70" w:anchor="P670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tooltip="#P681" w:anchor="P681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таблицы приложения 2 к муниципальной программе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12.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конкурса молодежных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выявление и организация 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1340,00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140,00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70" w:anchor="P670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tooltip="#P681" w:anchor="P681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таблицы приложения 2 к 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9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11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12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инициатив и социальных проектов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 xml:space="preserve">«Стартап»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социально значимых проектов для молодежи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муниципальной программе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13.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участия молодых людей города Ставрополя в проектно-форумной кампании, творческих конкурсах и фестивалях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поддержка инициативной молодежи, содействие молодежи в проектной деятельности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150,00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150,00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150,00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150,00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150,00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150,00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70" w:anchor="P670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tooltip="#P681" w:anchor="P681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таблицы приложения 2 к муниципальной программе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мероприятий, направленных на развитие деятельности молодежных общественных организаций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повышение эффективности работы общественных организаций с молодыми людьми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80,00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70" w:anchor="P670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tooltip="#P681" w:anchor="P681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таблицы приложения 2 к муниципальной программе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15.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мероприятий, направленных на выявление и реализацию молодежных инициатив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участия молодежи в общественной жизни города Ставрополя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360,00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360,00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559,00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360,00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360,00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360,00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70" w:anchor="P670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tooltip="#P681" w:anchor="P681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таблицы приложения 2 к муниципальной программе</w:t>
            </w:r>
            <w:r/>
          </w:p>
        </w:tc>
      </w:tr>
      <w:tr>
        <w:trPr/>
        <w:tc>
          <w:tcPr>
            <w:gridSpan w:val="2"/>
            <w:tcW w:w="289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Основное мероприятие 4. Обеспечение деятельности муниципальных бюджетных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создание условий для функционирования 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4121,94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5230,66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6184,52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7547,10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7547,10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7547,10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70" w:anchor="P670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tooltip="#P681" w:anchor="P681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таблицы приложения 2 к муниципальной </w:t>
            </w:r>
            <w:r/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9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11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12</w:t>
            </w:r>
            <w:r/>
          </w:p>
        </w:tc>
      </w:tr>
      <w:tr>
        <w:trPr/>
        <w:tc>
          <w:tcPr>
            <w:gridSpan w:val="2"/>
            <w:tcW w:w="289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учреждений города Ставрополя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администрации города Ставрополя</w:t>
            </w:r>
            <w:r/>
          </w:p>
        </w:tc>
        <w:tc>
          <w:tcPr>
            <w:tcW w:w="212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муниципальных бюджетных учреждений города Ставрополя</w:t>
            </w:r>
            <w:r/>
          </w:p>
        </w:tc>
        <w:tc>
          <w:tcPr>
            <w:tcW w:w="86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программе</w:t>
            </w:r>
            <w:r/>
          </w:p>
        </w:tc>
      </w:tr>
      <w:tr>
        <w:trPr>
          <w:trHeight w:val="7"/>
        </w:trPr>
        <w:tc>
          <w:tcPr>
            <w:tcW w:w="564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16.</w:t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2330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color w:val="000000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Предоставление субсидий на выполнение муниципального задания и иные цели муниципальному бюджетному учреждению города Ставрополя «Молодежный центр «Патриот»</w:t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2124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создание условий для функционирования муниципальных бюджетных учреждений города Ставрополя</w:t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gridSpan w:val="8"/>
            <w:tcW w:w="8937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бюджет города Ставрополя</w:t>
            </w:r>
            <w:r/>
          </w:p>
        </w:tc>
      </w:tr>
      <w:tr>
        <w:trPr>
          <w:trHeight w:val="412"/>
        </w:trPr>
        <w:tc>
          <w:tcPr>
            <w:tcW w:w="5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0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2060,97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2643,87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3129,45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4580,75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4580,75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4580,75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266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/>
            <w:hyperlink w:tooltip="#P670" w:anchor="P670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tooltip="#P681" w:anchor="P681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таблицы приложения 2 к муниципальной программе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</w:tr>
      <w:tr>
        <w:trPr>
          <w:trHeight w:val="0"/>
        </w:trPr>
        <w:tc>
          <w:tcPr>
            <w:tcW w:w="5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tcW w:w="8937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</w:tr>
      <w:tr>
        <w:trPr>
          <w:trHeight w:val="627"/>
        </w:trPr>
        <w:tc>
          <w:tcPr>
            <w:tcW w:w="5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0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19,46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73,54</w:t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</w:t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--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</w:t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2266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</w:rPr>
            </w:pPr>
            <w:r/>
            <w:hyperlink w:tooltip="#P670" w:anchor="P670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tooltip="#P681" w:anchor="P681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таблицы приложения 2 к муниципальной программе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</w:tr>
      <w:tr>
        <w:trPr>
          <w:trHeight w:val="23"/>
        </w:trPr>
        <w:tc>
          <w:tcPr>
            <w:tcW w:w="564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17.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2330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Предоставление субсидий на выполнение муниципального задания и иные цели муниципальному бюджетному учреждению города Ставрополя «Центр молодежных инициатив «Трамплин»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2124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создание условий для функционирования муниципальных бюджетных учреждений города Ставрополя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none"/>
              </w:rPr>
            </w:r>
            <w:r/>
          </w:p>
        </w:tc>
        <w:tc>
          <w:tcPr>
            <w:gridSpan w:val="8"/>
            <w:tcW w:w="8937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бюджет города Ставрополя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</w:tr>
      <w:tr>
        <w:trPr>
          <w:trHeight w:val="627"/>
        </w:trPr>
        <w:tc>
          <w:tcPr>
            <w:tcW w:w="5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0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2060,97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2547,87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2907,99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2966,35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2966,35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2966,35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266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</w:rPr>
            </w:pPr>
            <w:r/>
            <w:hyperlink w:tooltip="#P670" w:anchor="P670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tooltip="#P681" w:anchor="P681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таблицы приложения 2 к муниципальной программе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</w:tr>
      <w:tr>
        <w:trPr>
          <w:trHeight w:val="173"/>
        </w:trPr>
        <w:tc>
          <w:tcPr>
            <w:tcW w:w="5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tcW w:w="8937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</w:tr>
      <w:tr>
        <w:trPr>
          <w:trHeight w:val="283"/>
        </w:trPr>
        <w:tc>
          <w:tcPr>
            <w:tcW w:w="5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0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2020 - 2025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</w:t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non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19,46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Cs w:val="22"/>
                <w:highlight w:val="none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73,54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Cs w:val="22"/>
                <w:highlight w:val="none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</w:t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</w:t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266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color w:val="000000"/>
                <w:highlight w:val="none"/>
              </w:rPr>
            </w:pPr>
            <w:r/>
            <w:hyperlink w:tooltip="#P670" w:anchor="P670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пункты 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tooltip="#P681" w:anchor="P681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таблицы приложения 2 к муниципальной программе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</w:tr>
      <w:tr>
        <w:trPr>
          <w:trHeight w:val="211"/>
        </w:trPr>
        <w:tc>
          <w:tcPr>
            <w:gridSpan w:val="5"/>
            <w:tcW w:w="7862" w:type="dxa"/>
            <w:vMerge w:val="restart"/>
            <w:textDirection w:val="lrTb"/>
            <w:noWrap w:val="false"/>
          </w:tcPr>
          <w:p>
            <w:pPr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бюджет </w:t>
            </w:r>
            <w:r>
              <w:rPr>
                <w:rFonts w:ascii="Times New Roman" w:hAnsi="Times New Roman" w:cs="Times New Roman" w:eastAsia="Times New Roman"/>
              </w:rPr>
              <w:t xml:space="preserve">города Ставрополя </w:t>
            </w:r>
            <w:r>
              <w:rPr>
                <w:rFonts w:ascii="Times New Roman" w:hAnsi="Times New Roman" w:cs="Times New Roman" w:eastAsia="Times New Roman"/>
              </w:rPr>
            </w:r>
            <w:r/>
            <w:r>
              <w:rPr>
                <w:rFonts w:ascii="Times New Roman" w:hAnsi="Times New Roman" w:cs="Times New Roman" w:eastAsia="Times New Roman"/>
              </w:rPr>
            </w:r>
            <w:r/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10461,23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11700,74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14119,48</w:t>
            </w:r>
            <w:r>
              <w:rPr>
                <w:sz w:val="18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14056,14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14056,14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14056,14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2266" w:type="dxa"/>
            <w:vMerge w:val="restart"/>
            <w:textDirection w:val="lrTb"/>
            <w:noWrap w:val="false"/>
          </w:tcPr>
          <w:p>
            <w:pPr>
              <w:pStyle w:val="837"/>
              <w:spacing w:after="0" w:afterAutospacing="0" w:line="283" w:lineRule="exact"/>
            </w:pPr>
            <w:r/>
            <w:r/>
          </w:p>
        </w:tc>
      </w:tr>
      <w:tr>
        <w:trPr>
          <w:trHeight w:val="140"/>
        </w:trPr>
        <w:tc>
          <w:tcPr>
            <w:gridSpan w:val="5"/>
            <w:tcW w:w="7862" w:type="dxa"/>
            <w:vMerge w:val="restart"/>
            <w:textDirection w:val="lrTb"/>
            <w:noWrap w:val="false"/>
          </w:tcPr>
          <w:p>
            <w:pPr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бюджет </w:t>
            </w:r>
            <w:r>
              <w:rPr>
                <w:rFonts w:ascii="Times New Roman" w:hAnsi="Times New Roman" w:cs="Times New Roman" w:eastAsia="Times New Roman"/>
              </w:rPr>
              <w:t xml:space="preserve">Ставропольского края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38,92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147,08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tcW w:w="2266" w:type="dxa"/>
            <w:vMerge w:val="restart"/>
            <w:textDirection w:val="lrTb"/>
            <w:noWrap w:val="false"/>
          </w:tcPr>
          <w:p>
            <w:pPr>
              <w:pStyle w:val="837"/>
              <w:spacing w:after="0" w:afterAutospacing="0" w:line="283" w:lineRule="exact"/>
            </w:pPr>
            <w:r/>
            <w:r/>
          </w:p>
        </w:tc>
      </w:tr>
      <w:tr>
        <w:trPr>
          <w:trHeight w:val="351"/>
        </w:trPr>
        <w:tc>
          <w:tcPr>
            <w:gridSpan w:val="5"/>
            <w:tcW w:w="7862" w:type="dxa"/>
            <w:vMerge w:val="restart"/>
            <w:textDirection w:val="lrTb"/>
            <w:noWrap w:val="false"/>
          </w:tcPr>
          <w:p>
            <w:pPr>
              <w:pStyle w:val="837"/>
              <w:spacing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Итого по программе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10461,23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11739,66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after="0" w:afterAutospacing="0" w:line="283" w:lineRule="exact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14266,56</w:t>
            </w:r>
            <w:r>
              <w:rPr>
                <w:sz w:val="18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837"/>
              <w:spacing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14056,14</w:t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837"/>
              <w:spacing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14056,14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37"/>
              <w:spacing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14056,14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  <w:tc>
          <w:tcPr>
            <w:tcW w:w="2266" w:type="dxa"/>
            <w:vMerge w:val="restart"/>
            <w:textDirection w:val="lrTb"/>
            <w:noWrap w:val="false"/>
          </w:tcPr>
          <w:p>
            <w:pPr>
              <w:pStyle w:val="837"/>
              <w:spacing w:after="0" w:afterAutospacing="0" w:line="283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Cs w:val="22"/>
              </w:rPr>
            </w:r>
            <w:r/>
          </w:p>
        </w:tc>
      </w:tr>
      <w:tr>
        <w:trPr>
          <w:trHeight w:val="280"/>
        </w:trPr>
        <w:tc>
          <w:tcPr>
            <w:gridSpan w:val="5"/>
            <w:tcW w:w="7862" w:type="dxa"/>
            <w:vMerge w:val="restart"/>
            <w:textDirection w:val="lrTb"/>
            <w:noWrap w:val="false"/>
          </w:tcPr>
          <w:p>
            <w:pPr>
              <w:pStyle w:val="837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Всего по программе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  <w:r/>
          </w:p>
        </w:tc>
        <w:tc>
          <w:tcPr>
            <w:gridSpan w:val="7"/>
            <w:tcW w:w="8077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78635,87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headerReference w:type="default" r:id="rId8"/>
      <w:footnotePr/>
      <w:endnotePr/>
      <w:type w:val="nextPage"/>
      <w:pgSz w:w="16838" w:h="11906" w:orient="landscape"/>
      <w:pgMar w:top="1985" w:right="567" w:bottom="1418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94760624"/>
      <w:docPartObj>
        <w:docPartGallery w:val="Page Numbers (Top of Page)"/>
        <w:docPartUnique w:val="true"/>
      </w:docPartObj>
      <w:rPr/>
    </w:sdtPr>
    <w:sdtContent>
      <w:p>
        <w:pPr>
          <w:pStyle w:val="83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83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cs="Arial" w:eastAsia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cs="Arial" w:eastAsia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cs="Arial" w:eastAsia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cs="Arial" w:eastAsia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cs="Arial" w:eastAsia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cs="Arial" w:eastAsia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cs="Arial" w:eastAsia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cs="Arial" w:eastAsia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4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4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4"/>
    <w:link w:val="838"/>
    <w:uiPriority w:val="99"/>
  </w:style>
  <w:style w:type="character" w:styleId="687">
    <w:name w:val="Footer Char"/>
    <w:basedOn w:val="834"/>
    <w:link w:val="840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0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838">
    <w:name w:val="Header"/>
    <w:basedOn w:val="833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4"/>
    <w:link w:val="838"/>
    <w:uiPriority w:val="99"/>
  </w:style>
  <w:style w:type="paragraph" w:styleId="840">
    <w:name w:val="Footer"/>
    <w:basedOn w:val="833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4"/>
    <w:link w:val="840"/>
    <w:uiPriority w:val="99"/>
  </w:style>
  <w:style w:type="table" w:styleId="842">
    <w:name w:val="Table Grid"/>
    <w:basedOn w:val="8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BA3223E-4EC7-4814-96E2-A062CEBA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Ставрополь Комитет культуры и молодежной политики</dc:creator>
  <cp:keywords/>
  <dc:description/>
  <cp:revision>10</cp:revision>
  <dcterms:created xsi:type="dcterms:W3CDTF">2022-09-21T15:25:00Z</dcterms:created>
  <dcterms:modified xsi:type="dcterms:W3CDTF">2022-12-05T08:22:32Z</dcterms:modified>
</cp:coreProperties>
</file>