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sz w:val="28"/>
        </w:rPr>
      </w:pPr>
    </w:p>
    <w:p w14:paraId="03000000">
      <w:pPr>
        <w:pStyle w:val="Style_1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spacing w:line="240" w:lineRule="exact"/>
        <w:ind w:firstLine="0" w:left="5387" w:right="-1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04000000">
      <w:pPr>
        <w:pStyle w:val="Style_1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spacing w:line="240" w:lineRule="exact"/>
        <w:ind w:firstLine="0" w:left="5387" w:right="-144"/>
        <w:rPr>
          <w:rFonts w:ascii="Times New Roman" w:hAnsi="Times New Roman"/>
          <w:sz w:val="28"/>
        </w:rPr>
      </w:pPr>
    </w:p>
    <w:p w14:paraId="05000000">
      <w:pPr>
        <w:pStyle w:val="Style_1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spacing w:line="240" w:lineRule="exact"/>
        <w:ind w:firstLine="0" w:left="5387" w:right="-1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06000000">
      <w:pPr>
        <w:pStyle w:val="Style_1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spacing w:line="240" w:lineRule="exact"/>
        <w:ind w:firstLine="0" w:left="5387" w:right="-1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14:paraId="07000000">
      <w:pPr>
        <w:spacing w:line="240" w:lineRule="exact"/>
        <w:ind w:firstLine="0" w:left="5387" w:right="-144"/>
        <w:rPr>
          <w:sz w:val="28"/>
        </w:rPr>
      </w:pPr>
      <w:r>
        <w:rPr>
          <w:sz w:val="28"/>
        </w:rPr>
        <w:t xml:space="preserve">от        .       .202        № </w:t>
      </w:r>
    </w:p>
    <w:p w14:paraId="08000000">
      <w:pPr>
        <w:pStyle w:val="Style_2"/>
        <w:spacing w:line="240" w:lineRule="exact"/>
        <w:ind/>
        <w:jc w:val="center"/>
      </w:pPr>
    </w:p>
    <w:p w14:paraId="09000000">
      <w:pPr>
        <w:pStyle w:val="Style_2"/>
        <w:spacing w:line="240" w:lineRule="exact"/>
        <w:ind/>
        <w:jc w:val="center"/>
      </w:pPr>
      <w:r>
        <w:t>МУНИЦИПАЛЬНАЯ ПРОГРАММА</w:t>
      </w:r>
    </w:p>
    <w:p w14:paraId="0A000000">
      <w:pPr>
        <w:pStyle w:val="Style_2"/>
        <w:spacing w:line="240" w:lineRule="exact"/>
        <w:ind/>
        <w:jc w:val="center"/>
        <w:outlineLvl w:val="0"/>
      </w:pPr>
      <w:r>
        <w:t>«Обеспечение жильем населения город</w:t>
      </w:r>
      <w:r>
        <w:rPr>
          <w:b w:val="1"/>
        </w:rPr>
        <w:t>а</w:t>
      </w:r>
      <w:r>
        <w:t xml:space="preserve"> Ставропол</w:t>
      </w:r>
      <w:r>
        <w:rPr>
          <w:b w:val="1"/>
        </w:rPr>
        <w:t>я</w:t>
      </w:r>
      <w:r>
        <w:t>»</w:t>
      </w:r>
    </w:p>
    <w:p w14:paraId="0B000000">
      <w:pPr>
        <w:pStyle w:val="Style_2"/>
        <w:ind/>
        <w:jc w:val="center"/>
      </w:pPr>
    </w:p>
    <w:p w14:paraId="0C000000">
      <w:pPr>
        <w:pStyle w:val="Style_2"/>
        <w:spacing w:line="240" w:lineRule="exact"/>
        <w:ind/>
        <w:jc w:val="center"/>
        <w:outlineLvl w:val="0"/>
      </w:pPr>
      <w:r>
        <w:t>ПАСПОРТ</w:t>
      </w:r>
    </w:p>
    <w:p w14:paraId="0D000000">
      <w:pPr>
        <w:pStyle w:val="Style_2"/>
        <w:spacing w:line="240" w:lineRule="exact"/>
        <w:ind/>
        <w:jc w:val="center"/>
      </w:pPr>
      <w:r>
        <w:t>муниципальной программы</w:t>
      </w:r>
    </w:p>
    <w:p w14:paraId="0E000000">
      <w:pPr>
        <w:pStyle w:val="Style_2"/>
        <w:spacing w:line="240" w:lineRule="exact"/>
        <w:ind/>
        <w:jc w:val="center"/>
      </w:pPr>
      <w:r>
        <w:t>«Обеспечение жильем населения город</w:t>
      </w:r>
      <w:r>
        <w:rPr>
          <w:b w:val="1"/>
        </w:rPr>
        <w:t>а</w:t>
      </w:r>
      <w:r>
        <w:t xml:space="preserve"> Ставропол</w:t>
      </w:r>
      <w:r>
        <w:rPr>
          <w:b w:val="1"/>
        </w:rPr>
        <w:t>я</w:t>
      </w:r>
      <w:r>
        <w:t>»</w:t>
      </w:r>
    </w:p>
    <w:p w14:paraId="0F000000">
      <w:pPr>
        <w:pStyle w:val="Style_2"/>
        <w:ind/>
        <w:jc w:val="center"/>
      </w:pPr>
    </w:p>
    <w:tbl>
      <w:tblPr>
        <w:tblStyle w:val="Style_3"/>
        <w:tblLayout w:type="fixed"/>
      </w:tblPr>
      <w:tblGrid>
        <w:gridCol w:w="3004"/>
        <w:gridCol w:w="302"/>
        <w:gridCol w:w="6049"/>
      </w:tblGrid>
      <w:tr>
        <w:tc>
          <w:tcPr>
            <w:tcW w:type="dxa" w:w="3004"/>
          </w:tcPr>
          <w:p w14:paraId="10000000">
            <w:pPr>
              <w:pStyle w:val="Style_2"/>
            </w:pPr>
            <w:r>
              <w:t>Наименование муниципальной программы</w:t>
            </w:r>
          </w:p>
        </w:tc>
        <w:tc>
          <w:tcPr>
            <w:tcW w:type="dxa" w:w="302"/>
          </w:tcPr>
          <w:p w14:paraId="11000000">
            <w:pPr>
              <w:pStyle w:val="Style_2"/>
              <w:ind/>
              <w:jc w:val="center"/>
            </w:pPr>
          </w:p>
        </w:tc>
        <w:tc>
          <w:tcPr>
            <w:tcW w:type="dxa" w:w="6049"/>
          </w:tcPr>
          <w:p w14:paraId="12000000">
            <w:pPr>
              <w:pStyle w:val="Style_2"/>
              <w:ind/>
              <w:jc w:val="both"/>
            </w:pPr>
            <w:r>
              <w:t>«Обеспечение жильем населения город</w:t>
            </w:r>
            <w:r>
              <w:rPr>
                <w:b w:val="1"/>
              </w:rPr>
              <w:t>а</w:t>
            </w:r>
            <w:r>
              <w:t xml:space="preserve"> Ставрополя» (далее – Программа)</w:t>
            </w:r>
          </w:p>
        </w:tc>
      </w:tr>
      <w:tr>
        <w:tc>
          <w:tcPr>
            <w:tcW w:type="dxa" w:w="3004"/>
          </w:tcPr>
          <w:p w14:paraId="13000000">
            <w:pPr>
              <w:pStyle w:val="Style_2"/>
            </w:pPr>
          </w:p>
        </w:tc>
        <w:tc>
          <w:tcPr>
            <w:tcW w:type="dxa" w:w="302"/>
          </w:tcPr>
          <w:p w14:paraId="14000000">
            <w:pPr>
              <w:pStyle w:val="Style_2"/>
              <w:ind/>
              <w:jc w:val="center"/>
            </w:pPr>
          </w:p>
        </w:tc>
        <w:tc>
          <w:tcPr>
            <w:tcW w:type="dxa" w:w="6049"/>
          </w:tcPr>
          <w:p w14:paraId="15000000">
            <w:pPr>
              <w:pStyle w:val="Style_2"/>
              <w:ind/>
              <w:jc w:val="both"/>
            </w:pPr>
          </w:p>
        </w:tc>
      </w:tr>
      <w:tr>
        <w:tc>
          <w:tcPr>
            <w:tcW w:type="dxa" w:w="3004"/>
          </w:tcPr>
          <w:p w14:paraId="16000000">
            <w:pPr>
              <w:pStyle w:val="Style_2"/>
            </w:pPr>
            <w:r>
              <w:t>Ответственный исполнитель Программы</w:t>
            </w:r>
          </w:p>
        </w:tc>
        <w:tc>
          <w:tcPr>
            <w:tcW w:type="dxa" w:w="302"/>
          </w:tcPr>
          <w:p w14:paraId="17000000">
            <w:pPr>
              <w:pStyle w:val="Style_2"/>
              <w:ind/>
              <w:jc w:val="center"/>
            </w:pPr>
          </w:p>
        </w:tc>
        <w:tc>
          <w:tcPr>
            <w:tcW w:type="dxa" w:w="6049"/>
          </w:tcPr>
          <w:p w14:paraId="18000000">
            <w:pPr>
              <w:pStyle w:val="Style_2"/>
              <w:ind/>
              <w:jc w:val="both"/>
            </w:pPr>
            <w:r>
              <w:t>комитет по управлению муниципальным имуществом города Ставрополя</w:t>
            </w:r>
          </w:p>
        </w:tc>
      </w:tr>
      <w:tr>
        <w:tc>
          <w:tcPr>
            <w:tcW w:type="dxa" w:w="3004"/>
          </w:tcPr>
          <w:p w14:paraId="19000000">
            <w:pPr>
              <w:pStyle w:val="Style_2"/>
            </w:pPr>
          </w:p>
        </w:tc>
        <w:tc>
          <w:tcPr>
            <w:tcW w:type="dxa" w:w="302"/>
          </w:tcPr>
          <w:p w14:paraId="1A000000">
            <w:pPr>
              <w:pStyle w:val="Style_2"/>
              <w:ind/>
              <w:jc w:val="center"/>
            </w:pPr>
          </w:p>
        </w:tc>
        <w:tc>
          <w:tcPr>
            <w:tcW w:type="dxa" w:w="6049"/>
          </w:tcPr>
          <w:p w14:paraId="1B000000">
            <w:pPr>
              <w:pStyle w:val="Style_2"/>
              <w:ind/>
              <w:jc w:val="both"/>
            </w:pPr>
          </w:p>
        </w:tc>
      </w:tr>
      <w:tr>
        <w:tc>
          <w:tcPr>
            <w:tcW w:type="dxa" w:w="3004"/>
          </w:tcPr>
          <w:p w14:paraId="1C000000">
            <w:pPr>
              <w:pStyle w:val="Style_2"/>
            </w:pPr>
            <w:r>
              <w:t>Соисполнитель(и)</w:t>
            </w:r>
          </w:p>
          <w:p w14:paraId="1D000000">
            <w:pPr>
              <w:pStyle w:val="Style_2"/>
            </w:pPr>
            <w:r>
              <w:t>Программы</w:t>
            </w:r>
          </w:p>
        </w:tc>
        <w:tc>
          <w:tcPr>
            <w:tcW w:type="dxa" w:w="302"/>
          </w:tcPr>
          <w:p w14:paraId="1E000000">
            <w:pPr>
              <w:pStyle w:val="Style_2"/>
              <w:ind/>
              <w:jc w:val="center"/>
            </w:pPr>
          </w:p>
        </w:tc>
        <w:tc>
          <w:tcPr>
            <w:tcW w:type="dxa" w:w="6049"/>
          </w:tcPr>
          <w:p w14:paraId="1F000000">
            <w:pPr>
              <w:pStyle w:val="Style_2"/>
              <w:ind/>
              <w:jc w:val="both"/>
            </w:pPr>
            <w:r>
              <w:t>отсутствуют</w:t>
            </w:r>
          </w:p>
        </w:tc>
      </w:tr>
      <w:tr>
        <w:tc>
          <w:tcPr>
            <w:tcW w:type="dxa" w:w="3004"/>
          </w:tcPr>
          <w:p w14:paraId="20000000">
            <w:pPr>
              <w:pStyle w:val="Style_2"/>
            </w:pPr>
          </w:p>
        </w:tc>
        <w:tc>
          <w:tcPr>
            <w:tcW w:type="dxa" w:w="302"/>
          </w:tcPr>
          <w:p w14:paraId="21000000">
            <w:pPr>
              <w:pStyle w:val="Style_2"/>
              <w:ind/>
              <w:jc w:val="center"/>
            </w:pPr>
          </w:p>
        </w:tc>
        <w:tc>
          <w:tcPr>
            <w:tcW w:type="dxa" w:w="6049"/>
          </w:tcPr>
          <w:p w14:paraId="22000000">
            <w:pPr>
              <w:pStyle w:val="Style_2"/>
              <w:ind/>
              <w:jc w:val="both"/>
            </w:pPr>
          </w:p>
        </w:tc>
      </w:tr>
      <w:tr>
        <w:trPr>
          <w:trHeight w:hRule="atLeast" w:val="704"/>
        </w:trPr>
        <w:tc>
          <w:tcPr>
            <w:tcW w:type="dxa" w:w="3004"/>
          </w:tcPr>
          <w:p w14:paraId="23000000">
            <w:pPr>
              <w:pStyle w:val="Style_2"/>
            </w:pPr>
            <w:r>
              <w:t>Участники Программы</w:t>
            </w:r>
          </w:p>
        </w:tc>
        <w:tc>
          <w:tcPr>
            <w:tcW w:type="dxa" w:w="302"/>
          </w:tcPr>
          <w:p w14:paraId="24000000">
            <w:pPr>
              <w:pStyle w:val="Style_2"/>
              <w:ind/>
              <w:jc w:val="center"/>
            </w:pPr>
          </w:p>
        </w:tc>
        <w:tc>
          <w:tcPr>
            <w:tcW w:type="dxa" w:w="6049"/>
          </w:tcPr>
          <w:p w14:paraId="25000000">
            <w:pPr>
              <w:pStyle w:val="Style_2"/>
              <w:ind/>
              <w:jc w:val="both"/>
            </w:pPr>
            <w:r>
              <w:t>отсутствуют</w:t>
            </w:r>
          </w:p>
          <w:p w14:paraId="26000000">
            <w:pPr>
              <w:pStyle w:val="Style_2"/>
              <w:ind/>
              <w:jc w:val="both"/>
            </w:pPr>
          </w:p>
        </w:tc>
      </w:tr>
      <w:tr>
        <w:trPr>
          <w:trHeight w:hRule="atLeast" w:val="704"/>
        </w:trPr>
        <w:tc>
          <w:tcPr>
            <w:tcW w:type="dxa" w:w="3004"/>
          </w:tcPr>
          <w:p w14:paraId="27000000">
            <w:pPr>
              <w:pStyle w:val="Style_2"/>
            </w:pPr>
            <w:r>
              <w:t>Подпрограммы Программы</w:t>
            </w:r>
          </w:p>
        </w:tc>
        <w:tc>
          <w:tcPr>
            <w:tcW w:type="dxa" w:w="302"/>
          </w:tcPr>
          <w:p w14:paraId="28000000">
            <w:pPr>
              <w:pStyle w:val="Style_2"/>
              <w:ind/>
              <w:jc w:val="center"/>
            </w:pPr>
          </w:p>
        </w:tc>
        <w:tc>
          <w:tcPr>
            <w:tcW w:type="dxa" w:w="6049"/>
            <w:tcBorders>
              <w:top w:sz="4" w:val="nil"/>
              <w:left w:sz="4" w:val="nil"/>
              <w:right w:sz="4" w:val="nil"/>
            </w:tcBorders>
          </w:tcPr>
          <w:p w14:paraId="29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«Обеспечение жильем молодых семей в городе Ставрополе» Программы     (далее - Подпрограмма 1)</w:t>
            </w:r>
          </w:p>
        </w:tc>
      </w:tr>
      <w:tr>
        <w:trPr>
          <w:trHeight w:hRule="atLeast" w:val="704"/>
        </w:trPr>
        <w:tc>
          <w:tcPr>
            <w:tcW w:type="dxa" w:w="3004"/>
          </w:tcPr>
          <w:p w14:paraId="2A000000">
            <w:pPr>
              <w:pStyle w:val="Style_2"/>
            </w:pPr>
          </w:p>
        </w:tc>
        <w:tc>
          <w:tcPr>
            <w:tcW w:type="dxa" w:w="302"/>
          </w:tcPr>
          <w:p w14:paraId="2B000000">
            <w:pPr>
              <w:pStyle w:val="Style_2"/>
              <w:ind/>
              <w:jc w:val="center"/>
            </w:pPr>
          </w:p>
        </w:tc>
        <w:tc>
          <w:tcPr>
            <w:tcW w:type="dxa" w:w="6049"/>
          </w:tcPr>
          <w:p w14:paraId="2C000000">
            <w:pPr>
              <w:pStyle w:val="Style_2"/>
              <w:ind/>
              <w:jc w:val="both"/>
            </w:pP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 xml:space="preserve"> «Переселение граждан из аварийного жилищного фонда в городе Ставрополе» Программы (далее -       Подпрограмма 2)</w:t>
            </w:r>
          </w:p>
        </w:tc>
      </w:tr>
      <w:tr>
        <w:trPr>
          <w:trHeight w:hRule="atLeast" w:val="383"/>
        </w:trPr>
        <w:tc>
          <w:tcPr>
            <w:tcW w:type="dxa" w:w="3004"/>
          </w:tcPr>
          <w:p w14:paraId="2E000000">
            <w:pPr>
              <w:pStyle w:val="Style_2"/>
            </w:pPr>
          </w:p>
        </w:tc>
        <w:tc>
          <w:tcPr>
            <w:tcW w:type="dxa" w:w="302"/>
          </w:tcPr>
          <w:p w14:paraId="2F000000">
            <w:pPr>
              <w:pStyle w:val="Style_2"/>
              <w:ind/>
              <w:jc w:val="center"/>
            </w:pPr>
          </w:p>
        </w:tc>
        <w:tc>
          <w:tcPr>
            <w:tcW w:type="dxa" w:w="6049"/>
          </w:tcPr>
          <w:p w14:paraId="30000000">
            <w:pPr>
              <w:pStyle w:val="Style_2"/>
              <w:ind/>
              <w:jc w:val="both"/>
            </w:pPr>
          </w:p>
        </w:tc>
      </w:tr>
      <w:tr>
        <w:trPr>
          <w:trHeight w:hRule="atLeast" w:val="977"/>
        </w:trPr>
        <w:tc>
          <w:tcPr>
            <w:tcW w:type="dxa" w:w="3004"/>
          </w:tcPr>
          <w:p w14:paraId="31000000">
            <w:pPr>
              <w:pStyle w:val="Style_2"/>
            </w:pPr>
            <w:r>
              <w:t>Цель Программы</w:t>
            </w:r>
          </w:p>
        </w:tc>
        <w:tc>
          <w:tcPr>
            <w:tcW w:type="dxa" w:w="302"/>
          </w:tcPr>
          <w:p w14:paraId="32000000">
            <w:pPr>
              <w:pStyle w:val="Style_2"/>
              <w:ind/>
              <w:jc w:val="center"/>
            </w:pPr>
          </w:p>
        </w:tc>
        <w:tc>
          <w:tcPr>
            <w:tcW w:type="dxa" w:w="6049"/>
          </w:tcPr>
          <w:p w14:paraId="33000000">
            <w:pPr>
              <w:pStyle w:val="Style_2"/>
              <w:ind/>
              <w:jc w:val="both"/>
            </w:pPr>
            <w:r>
              <w:t xml:space="preserve">предоставление поддержки в решении жилищной проблемы молодым семьям, признанным в установленном порядке нуждающимися в </w:t>
            </w:r>
            <w:r>
              <w:t>улучшении жилищных условий для участия в Программе (далее – молодые семьи);</w:t>
            </w:r>
          </w:p>
          <w:p w14:paraId="34000000">
            <w:pPr>
              <w:pStyle w:val="Style_2"/>
              <w:ind/>
              <w:jc w:val="both"/>
            </w:pPr>
          </w:p>
          <w:p w14:paraId="35000000">
            <w:pPr>
              <w:pStyle w:val="Style_2"/>
              <w:ind/>
              <w:jc w:val="both"/>
            </w:pPr>
            <w:r>
              <w:t xml:space="preserve">обеспечение переселения граждан, проживающих в многоквартирных домах, признанных в установленном порядке после     01 января 2017 года аварийными и </w:t>
            </w:r>
            <w:r>
              <w:t>подлежащими сносу в связи с физ</w:t>
            </w:r>
            <w:r>
              <w:t>ическим износом в процессе их эксплуатации (далее - аварийные многоквартирные дома)</w:t>
            </w:r>
          </w:p>
        </w:tc>
      </w:tr>
      <w:tr>
        <w:tc>
          <w:tcPr>
            <w:tcW w:type="dxa" w:w="3004"/>
          </w:tcPr>
          <w:p w14:paraId="36000000">
            <w:pPr>
              <w:pStyle w:val="Style_2"/>
            </w:pPr>
            <w:r>
              <w:t>Показатели (индикаторы) достижения целей Программы</w:t>
            </w:r>
          </w:p>
        </w:tc>
        <w:tc>
          <w:tcPr>
            <w:tcW w:type="dxa" w:w="302"/>
          </w:tcPr>
          <w:p w14:paraId="37000000">
            <w:pPr>
              <w:pStyle w:val="Style_2"/>
              <w:ind/>
              <w:jc w:val="center"/>
            </w:pPr>
          </w:p>
        </w:tc>
        <w:tc>
          <w:tcPr>
            <w:tcW w:type="dxa" w:w="6049"/>
          </w:tcPr>
          <w:p w14:paraId="38000000">
            <w:pPr>
              <w:pStyle w:val="Style_2"/>
              <w:ind/>
              <w:jc w:val="both"/>
            </w:pPr>
            <w:r>
              <w:t xml:space="preserve">количество молодых семей, получивших свидетельства (извещения) о праве на получение социальной выплаты на приобретение </w:t>
            </w:r>
            <w:r>
              <w:t>жилого помещения или создание объекта индивидуального жилищного строительства;</w:t>
            </w:r>
          </w:p>
          <w:p w14:paraId="39000000">
            <w:pPr>
              <w:pStyle w:val="Style_2"/>
              <w:ind/>
              <w:jc w:val="both"/>
            </w:pPr>
          </w:p>
          <w:p w14:paraId="3A000000">
            <w:pPr>
              <w:pStyle w:val="Style_2"/>
              <w:ind/>
              <w:jc w:val="both"/>
            </w:pPr>
            <w:r>
              <w:t>количество граждан, переселенных из жилых помещений аварийных многоквартирных домов, на которые муниципальным образованием городом Ставрополем Ставропольского края получена суб</w:t>
            </w:r>
            <w:r>
              <w:t>сидия на выплату собственникам жилых помещений возмещения за изымаемые жилые помещения</w:t>
            </w:r>
          </w:p>
          <w:p w14:paraId="3B000000">
            <w:pPr>
              <w:pStyle w:val="Style_2"/>
              <w:ind/>
              <w:jc w:val="both"/>
            </w:pPr>
          </w:p>
        </w:tc>
      </w:tr>
      <w:tr>
        <w:tc>
          <w:tcPr>
            <w:tcW w:type="dxa" w:w="3004"/>
          </w:tcPr>
          <w:p w14:paraId="3C000000">
            <w:pPr>
              <w:pStyle w:val="Style_2"/>
            </w:pPr>
            <w:r>
              <w:t>Сроки реализации Программы</w:t>
            </w:r>
          </w:p>
          <w:p w14:paraId="3D000000">
            <w:pPr>
              <w:pStyle w:val="Style_2"/>
            </w:pPr>
          </w:p>
        </w:tc>
        <w:tc>
          <w:tcPr>
            <w:tcW w:type="dxa" w:w="302"/>
          </w:tcPr>
          <w:p w14:paraId="3E000000">
            <w:pPr>
              <w:pStyle w:val="Style_2"/>
              <w:ind/>
              <w:jc w:val="center"/>
            </w:pPr>
          </w:p>
        </w:tc>
        <w:tc>
          <w:tcPr>
            <w:tcW w:type="dxa" w:w="6049"/>
          </w:tcPr>
          <w:p w14:paraId="3F000000">
            <w:pPr>
              <w:pStyle w:val="Style_2"/>
              <w:ind/>
              <w:jc w:val="both"/>
            </w:pPr>
            <w:r>
              <w:t>2023 – 2028 годы</w:t>
            </w:r>
          </w:p>
        </w:tc>
      </w:tr>
      <w:tr>
        <w:trPr>
          <w:trHeight w:hRule="atLeast" w:val="1354"/>
        </w:trPr>
        <w:tc>
          <w:tcPr>
            <w:tcW w:type="dxa" w:w="3004"/>
          </w:tcPr>
          <w:p w14:paraId="40000000">
            <w:pPr>
              <w:pStyle w:val="Style_2"/>
            </w:pPr>
            <w:r>
              <w:t>Объемы и источники финансового обеспечения Программы</w:t>
            </w:r>
          </w:p>
          <w:p w14:paraId="41000000">
            <w:pPr>
              <w:pStyle w:val="Style_2"/>
            </w:pPr>
          </w:p>
          <w:p w14:paraId="42000000">
            <w:pPr>
              <w:pStyle w:val="Style_2"/>
            </w:pPr>
          </w:p>
          <w:p w14:paraId="43000000">
            <w:pPr>
              <w:pStyle w:val="Style_2"/>
            </w:pPr>
          </w:p>
          <w:p w14:paraId="44000000">
            <w:pPr>
              <w:pStyle w:val="Style_2"/>
            </w:pPr>
          </w:p>
          <w:p w14:paraId="45000000">
            <w:pPr>
              <w:pStyle w:val="Style_2"/>
            </w:pPr>
          </w:p>
          <w:p w14:paraId="46000000">
            <w:pPr>
              <w:pStyle w:val="Style_2"/>
            </w:pPr>
          </w:p>
          <w:p w14:paraId="47000000">
            <w:pPr>
              <w:pStyle w:val="Style_2"/>
            </w:pPr>
          </w:p>
          <w:p w14:paraId="48000000">
            <w:pPr>
              <w:pStyle w:val="Style_2"/>
            </w:pPr>
          </w:p>
          <w:p w14:paraId="49000000">
            <w:pPr>
              <w:pStyle w:val="Style_2"/>
            </w:pPr>
          </w:p>
          <w:p w14:paraId="4A000000">
            <w:pPr>
              <w:pStyle w:val="Style_2"/>
            </w:pPr>
          </w:p>
          <w:p w14:paraId="4B000000">
            <w:pPr>
              <w:pStyle w:val="Style_2"/>
            </w:pPr>
          </w:p>
          <w:p w14:paraId="4C000000">
            <w:pPr>
              <w:pStyle w:val="Style_2"/>
            </w:pPr>
          </w:p>
          <w:p w14:paraId="4D000000">
            <w:pPr>
              <w:pStyle w:val="Style_2"/>
            </w:pPr>
          </w:p>
          <w:p w14:paraId="4E000000">
            <w:pPr>
              <w:pStyle w:val="Style_2"/>
            </w:pPr>
          </w:p>
          <w:p w14:paraId="4F000000">
            <w:pPr>
              <w:pStyle w:val="Style_2"/>
            </w:pPr>
          </w:p>
          <w:p w14:paraId="50000000">
            <w:pPr>
              <w:pStyle w:val="Style_2"/>
            </w:pPr>
          </w:p>
          <w:p w14:paraId="51000000">
            <w:pPr>
              <w:pStyle w:val="Style_2"/>
            </w:pPr>
          </w:p>
          <w:p w14:paraId="52000000">
            <w:pPr>
              <w:pStyle w:val="Style_2"/>
            </w:pPr>
          </w:p>
          <w:p w14:paraId="53000000">
            <w:pPr>
              <w:pStyle w:val="Style_2"/>
            </w:pPr>
          </w:p>
          <w:p w14:paraId="54000000">
            <w:pPr>
              <w:pStyle w:val="Style_2"/>
            </w:pPr>
          </w:p>
          <w:p w14:paraId="55000000">
            <w:pPr>
              <w:pStyle w:val="Style_2"/>
            </w:pPr>
          </w:p>
          <w:p w14:paraId="56000000">
            <w:pPr>
              <w:pStyle w:val="Style_2"/>
            </w:pPr>
          </w:p>
          <w:p w14:paraId="57000000">
            <w:pPr>
              <w:pStyle w:val="Style_2"/>
            </w:pPr>
          </w:p>
          <w:p w14:paraId="58000000">
            <w:pPr>
              <w:pStyle w:val="Style_2"/>
            </w:pPr>
          </w:p>
          <w:p w14:paraId="59000000">
            <w:pPr>
              <w:pStyle w:val="Style_2"/>
            </w:pPr>
          </w:p>
          <w:p w14:paraId="5A000000">
            <w:pPr>
              <w:pStyle w:val="Style_2"/>
            </w:pPr>
          </w:p>
          <w:p w14:paraId="5B000000">
            <w:pPr>
              <w:pStyle w:val="Style_2"/>
            </w:pPr>
          </w:p>
          <w:p w14:paraId="5C000000">
            <w:pPr>
              <w:pStyle w:val="Style_2"/>
            </w:pPr>
          </w:p>
          <w:p w14:paraId="5D000000">
            <w:pPr>
              <w:pStyle w:val="Style_2"/>
            </w:pPr>
          </w:p>
          <w:p w14:paraId="5E000000">
            <w:pPr>
              <w:pStyle w:val="Style_2"/>
            </w:pPr>
          </w:p>
          <w:p w14:paraId="5F000000">
            <w:pPr>
              <w:pStyle w:val="Style_2"/>
            </w:pPr>
          </w:p>
          <w:p w14:paraId="60000000">
            <w:pPr>
              <w:pStyle w:val="Style_2"/>
            </w:pPr>
          </w:p>
          <w:p w14:paraId="61000000">
            <w:pPr>
              <w:pStyle w:val="Style_2"/>
            </w:pPr>
          </w:p>
          <w:p w14:paraId="62000000">
            <w:pPr>
              <w:pStyle w:val="Style_2"/>
            </w:pPr>
          </w:p>
          <w:p w14:paraId="63000000">
            <w:pPr>
              <w:pStyle w:val="Style_2"/>
            </w:pPr>
          </w:p>
          <w:p w14:paraId="64000000">
            <w:pPr>
              <w:pStyle w:val="Style_2"/>
            </w:pPr>
          </w:p>
          <w:p w14:paraId="65000000">
            <w:pPr>
              <w:pStyle w:val="Style_2"/>
            </w:pPr>
          </w:p>
          <w:p w14:paraId="66000000">
            <w:pPr>
              <w:pStyle w:val="Style_2"/>
            </w:pPr>
          </w:p>
          <w:p w14:paraId="67000000">
            <w:pPr>
              <w:pStyle w:val="Style_2"/>
            </w:pPr>
          </w:p>
          <w:p w14:paraId="68000000">
            <w:pPr>
              <w:pStyle w:val="Style_2"/>
            </w:pPr>
          </w:p>
          <w:p w14:paraId="69000000">
            <w:pPr>
              <w:pStyle w:val="Style_2"/>
            </w:pPr>
          </w:p>
          <w:p w14:paraId="6A000000">
            <w:pPr>
              <w:pStyle w:val="Style_2"/>
            </w:pPr>
          </w:p>
          <w:p w14:paraId="6B000000">
            <w:pPr>
              <w:pStyle w:val="Style_2"/>
            </w:pPr>
          </w:p>
          <w:p w14:paraId="6C000000">
            <w:pPr>
              <w:pStyle w:val="Style_2"/>
            </w:pPr>
          </w:p>
          <w:p w14:paraId="6D000000">
            <w:pPr>
              <w:pStyle w:val="Style_2"/>
            </w:pPr>
          </w:p>
          <w:p w14:paraId="6E000000">
            <w:pPr>
              <w:pStyle w:val="Style_2"/>
            </w:pPr>
            <w:r>
              <w:t xml:space="preserve">Ожидаемые конечные </w:t>
            </w:r>
            <w:r>
              <w:t>результаты реализации Программы</w:t>
            </w:r>
          </w:p>
          <w:p w14:paraId="6F000000">
            <w:pPr>
              <w:pStyle w:val="Style_2"/>
            </w:pPr>
          </w:p>
        </w:tc>
        <w:tc>
          <w:tcPr>
            <w:tcW w:type="dxa" w:w="302"/>
          </w:tcPr>
          <w:p w14:paraId="70000000">
            <w:pPr>
              <w:pStyle w:val="Style_2"/>
              <w:ind/>
              <w:jc w:val="both"/>
            </w:pPr>
          </w:p>
        </w:tc>
        <w:tc>
          <w:tcPr>
            <w:tcW w:type="dxa" w:w="6049"/>
          </w:tcPr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Программы на 2023 - 2028 годы составляет 77058464,20 рубля, из них: 67025464,20 рубля по Подпрограмме 1 и 10033000,00 рубля по Подпрограмме 2, в том числе по годам:</w:t>
            </w:r>
          </w:p>
          <w:tbl>
            <w:tblPr>
              <w:tblStyle w:val="Style_3"/>
              <w:tblLayout w:type="fixed"/>
              <w:tblCellMar>
                <w:top w:type="dxa" w:w="102"/>
                <w:left w:type="dxa" w:w="62"/>
                <w:bottom w:type="dxa" w:w="102"/>
                <w:right w:type="dxa" w:w="62"/>
              </w:tblCellMar>
            </w:tblPr>
            <w:tblGrid>
              <w:gridCol w:w="5985"/>
            </w:tblGrid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72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2023 год - 28736472,10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73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2024 год - 18703472,10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74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2025 год - 7404630,00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75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2026 год - 7404630,00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76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2027 год - 7404630,00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77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2028 год - 7404630,00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78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Из них за счет средств:</w:t>
                  </w:r>
                </w:p>
                <w:p w14:paraId="79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14:paraId="7A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бюджета Ставропольского края в сумме 22597684,20 рубля, в том числе по годам: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7B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2023 год - 11298842,10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7C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2024 год - 11298842,10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7D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2025 год - 0,00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7E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2026 год - 0,00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7F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2027 год - 0,00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80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2028 год - 0,00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81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бюджета города Ставрополя в сумме 54460780,00  рублей, в том числе по годам: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82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2023 год </w:t>
                  </w:r>
                  <w:r>
                    <w:rPr>
                      <w:rFonts w:ascii="Times New Roman" w:hAnsi="Times New Roman"/>
                      <w:sz w:val="28"/>
                    </w:rPr>
                    <w:t>-17437630,00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83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2024 год - 7404630,00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84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2025 год - 7404630,00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85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2026 год - 7404630,00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86000000">
                  <w:pPr>
                    <w:pStyle w:val="Style_4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2027 год - 7404630,00 рубля;</w:t>
                  </w:r>
                </w:p>
              </w:tc>
            </w:tr>
            <w:tr>
              <w:tc>
                <w:tcPr>
                  <w:tcW w:type="dxa" w:w="5985"/>
                  <w:tcMar>
                    <w:top w:type="dxa" w:w="102"/>
                    <w:left w:type="dxa" w:w="62"/>
                    <w:bottom w:type="dxa" w:w="102"/>
                    <w:right w:type="dxa" w:w="62"/>
                  </w:tcMar>
                </w:tcPr>
                <w:p w14:paraId="87000000">
                  <w:r>
                    <w:rPr>
                      <w:sz w:val="28"/>
                    </w:rPr>
                    <w:t>2028 год - 7404630,00 рубля;</w:t>
                  </w:r>
                </w:p>
              </w:tc>
            </w:tr>
          </w:tbl>
          <w:p w14:paraId="88000000">
            <w:pPr>
              <w:ind/>
              <w:jc w:val="both"/>
              <w:rPr>
                <w:sz w:val="28"/>
              </w:rPr>
            </w:pPr>
          </w:p>
          <w:p w14:paraId="89000000">
            <w:pPr>
              <w:pStyle w:val="Style_2"/>
              <w:ind/>
              <w:jc w:val="both"/>
            </w:pPr>
            <w:r>
              <w:t>за счет собственных и заемных средств молодых семей, используемых для частичной опла</w:t>
            </w:r>
            <w:r>
              <w:t>ты стоимости приобретаемого жилья или строительства жилого дома</w:t>
            </w:r>
          </w:p>
          <w:p w14:paraId="8A000000">
            <w:pPr>
              <w:pStyle w:val="Style_2"/>
              <w:ind/>
              <w:jc w:val="both"/>
            </w:pPr>
          </w:p>
          <w:p w14:paraId="8B000000">
            <w:pPr>
              <w:pStyle w:val="Style_2"/>
              <w:ind/>
              <w:jc w:val="both"/>
            </w:pPr>
            <w:r>
              <w:t>улучшение жилищных условий ежегодно не менее 10 молодых семей;</w:t>
            </w:r>
          </w:p>
          <w:p w14:paraId="8C000000">
            <w:pPr>
              <w:rPr>
                <w:sz w:val="28"/>
              </w:rPr>
            </w:pPr>
            <w:r>
              <w:rPr>
                <w:sz w:val="28"/>
              </w:rPr>
              <w:t>переселение 5 человек в 2023 году из жилых помещений аварийного многоквартирного дома</w:t>
            </w:r>
          </w:p>
        </w:tc>
      </w:tr>
    </w:tbl>
    <w:p w14:paraId="8D000000">
      <w:pPr>
        <w:pStyle w:val="Style_2"/>
        <w:ind/>
        <w:contextualSpacing w:val="1"/>
        <w:jc w:val="center"/>
      </w:pPr>
    </w:p>
    <w:p w14:paraId="8E000000">
      <w:pPr>
        <w:pStyle w:val="Style_2"/>
        <w:ind/>
        <w:contextualSpacing w:val="1"/>
        <w:jc w:val="center"/>
      </w:pPr>
      <w:r>
        <w:t xml:space="preserve">I. Общая характеристика текущего </w:t>
      </w:r>
      <w:r>
        <w:t>состояния сферы реализации Программы</w:t>
      </w:r>
    </w:p>
    <w:p w14:paraId="8F000000">
      <w:pPr>
        <w:pStyle w:val="Style_2"/>
        <w:ind/>
        <w:contextualSpacing w:val="1"/>
        <w:jc w:val="center"/>
      </w:pPr>
      <w:r>
        <w:t>и прогноз ее развития</w:t>
      </w:r>
    </w:p>
    <w:p w14:paraId="90000000">
      <w:pPr>
        <w:pStyle w:val="Style_2"/>
        <w:spacing w:line="228" w:lineRule="auto"/>
        <w:ind/>
        <w:contextualSpacing w:val="1"/>
        <w:jc w:val="both"/>
        <w:rPr>
          <w:sz w:val="24"/>
        </w:rPr>
      </w:pPr>
    </w:p>
    <w:p w14:paraId="9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Жилищная проблема является одной из наиболее значимых проблем для населения города Ставрополя в связи с низкой доступностью жилья и ипотечных жилищных кредитов (займов), дефицитом средств, выделяе</w:t>
      </w:r>
      <w:r>
        <w:rPr>
          <w:sz w:val="28"/>
        </w:rPr>
        <w:t>мых на содержание и ремонт муниципального жилищного фонда, низким уровнем доходов граждан. Данные обстоятельства делают затруднительным приобретение жилья гражданами за счет собственных средств.</w:t>
      </w:r>
    </w:p>
    <w:p w14:paraId="92000000">
      <w:pPr>
        <w:pStyle w:val="Style_4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 актуальной данная проблема является для молодых семе</w:t>
      </w:r>
      <w:r>
        <w:rPr>
          <w:rFonts w:ascii="Times New Roman" w:hAnsi="Times New Roman"/>
          <w:sz w:val="28"/>
        </w:rPr>
        <w:t xml:space="preserve">й. Как правило, молодые семьи не могут получить доступ на рынок жилья. Имея достаточный уровень дохода для получения ипотечного жилищного кредита (займа), молодые семьи не могут оплатить первоначальный взнос при </w:t>
      </w:r>
      <w:r>
        <w:rPr>
          <w:rFonts w:ascii="Times New Roman" w:hAnsi="Times New Roman"/>
          <w:sz w:val="28"/>
        </w:rPr>
        <w:t xml:space="preserve">получении кредита (займа). Молодые семьи не </w:t>
      </w:r>
      <w:r>
        <w:rPr>
          <w:rFonts w:ascii="Times New Roman" w:hAnsi="Times New Roman"/>
          <w:sz w:val="28"/>
        </w:rPr>
        <w:t>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(займа). Для решения указанной проблемы требуется участие и взаимодействие органов го</w:t>
      </w:r>
      <w:r>
        <w:rPr>
          <w:rFonts w:ascii="Times New Roman" w:hAnsi="Times New Roman"/>
          <w:sz w:val="28"/>
        </w:rPr>
        <w:t>сударственной власти, органов местного самоуправления, организаций, предоставляющих ипотечные жилищные кредиты (займы).</w:t>
      </w:r>
    </w:p>
    <w:p w14:paraId="93000000">
      <w:pPr>
        <w:ind w:firstLine="708" w:left="0"/>
        <w:jc w:val="both"/>
        <w:rPr>
          <w:sz w:val="28"/>
        </w:rPr>
      </w:pPr>
      <w:r>
        <w:rPr>
          <w:sz w:val="28"/>
        </w:rPr>
        <w:t>С 2006 года по настоящее время город Ставрополь участвует в реализации федеральных и краевых программ по обеспечению жильем молодых семе</w:t>
      </w:r>
      <w:r>
        <w:rPr>
          <w:sz w:val="28"/>
        </w:rPr>
        <w:t>й.</w:t>
      </w:r>
    </w:p>
    <w:p w14:paraId="94000000">
      <w:pPr>
        <w:ind w:firstLine="709" w:left="0"/>
        <w:jc w:val="both"/>
        <w:rPr>
          <w:sz w:val="28"/>
        </w:rPr>
      </w:pPr>
      <w:r>
        <w:rPr>
          <w:sz w:val="28"/>
        </w:rPr>
        <w:t>За период с 2006 года по настоящее время в рамках участия в муниципальных программах по обеспечению жильем молодых семей при оказании поддержки путем получения социальных выплат, в том числе с использованием ипотечных жилищных кредитов (займов), улучшил</w:t>
      </w:r>
      <w:r>
        <w:rPr>
          <w:sz w:val="28"/>
        </w:rPr>
        <w:t>и жилищные условия около 700 молодых семей.</w:t>
      </w:r>
    </w:p>
    <w:p w14:paraId="95000000">
      <w:pPr>
        <w:ind w:firstLine="709" w:left="0"/>
        <w:jc w:val="both"/>
        <w:rPr>
          <w:sz w:val="28"/>
        </w:rPr>
      </w:pPr>
      <w:r>
        <w:rPr>
          <w:sz w:val="28"/>
        </w:rPr>
        <w:t>Реализация Программы путем выполнения мероприятий Подпрограммы 1 позволит:</w:t>
      </w:r>
    </w:p>
    <w:p w14:paraId="96000000">
      <w:pPr>
        <w:ind w:firstLine="709" w:left="0"/>
        <w:jc w:val="both"/>
      </w:pPr>
      <w:r>
        <w:rPr>
          <w:sz w:val="28"/>
        </w:rPr>
        <w:t xml:space="preserve">улучшить жилищные условия </w:t>
      </w:r>
      <w:r>
        <w:t xml:space="preserve"> </w:t>
      </w:r>
      <w:r>
        <w:rPr>
          <w:sz w:val="28"/>
        </w:rPr>
        <w:t>ежегодно не менее 10 молодых семей;</w:t>
      </w: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>привлечь в жилищную сферу дополнительные финансовые средства банков и друг</w:t>
      </w:r>
      <w:r>
        <w:rPr>
          <w:sz w:val="28"/>
        </w:rPr>
        <w:t>их организаций, предоставляющих ипотечные жилищные кредиты (займы), а также собственные средства молодых семей;</w:t>
      </w: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>укрепить семейные отношения и улучшить демографическую ситуацию в городе Ставрополе;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создать условия для привлечения молодыми семьями </w:t>
      </w:r>
      <w:r>
        <w:rPr>
          <w:sz w:val="28"/>
        </w:rPr>
        <w:t>собственных средств, дополнительных финансовых средств кредитных и других организаций, предоставляющих кредиты (займы), в том числе ипотечные жилищные кредиты (займы), на приобретение жилья или строительство жилого дома.</w:t>
      </w:r>
    </w:p>
    <w:p w14:paraId="9A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проблемы аварийного жилищн</w:t>
      </w:r>
      <w:r>
        <w:rPr>
          <w:rFonts w:ascii="Times New Roman" w:hAnsi="Times New Roman"/>
          <w:sz w:val="28"/>
        </w:rPr>
        <w:t>ого фонда является выделение бюджетных средств всех уровней на переселение граждан из аварийного жилья, поскольку большинство проживающих в аварийных домах граждан не в состоянии в настоящее время самостоятельно приобрести или получить на условиях найма жи</w:t>
      </w:r>
      <w:r>
        <w:rPr>
          <w:rFonts w:ascii="Times New Roman" w:hAnsi="Times New Roman"/>
          <w:sz w:val="28"/>
        </w:rPr>
        <w:t>лье удовлетворительного качества. Граждане, проживающие в аварийном жилищном фонде, постоянно подвергаются опасности. Аварийный жилищный фонд ухудшает внешний облик города Ставрополя, сдерживает развитие его инженерной инфраструктуры, снижает инвестиционну</w:t>
      </w:r>
      <w:r>
        <w:rPr>
          <w:rFonts w:ascii="Times New Roman" w:hAnsi="Times New Roman"/>
          <w:sz w:val="28"/>
        </w:rPr>
        <w:t>ю привлекательность города Ставрополя.</w:t>
      </w:r>
    </w:p>
    <w:p w14:paraId="9B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 Ставрополь не имеет финансовой возможности решить проблему переселения граждан из аварийного жилищного фонда без привлечения дополнительных средств.</w:t>
      </w:r>
    </w:p>
    <w:p w14:paraId="9C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городе Ставрополе на протяжении нескольких последних лет ведется планомерная последовательная работа по ликвидации аварийного жилищного фонда путем участия в краевых адресных программах и реализации муниципальных программ по переселению граждан, в резуль</w:t>
      </w:r>
      <w:r>
        <w:rPr>
          <w:rFonts w:ascii="Times New Roman" w:hAnsi="Times New Roman"/>
          <w:sz w:val="28"/>
        </w:rPr>
        <w:t xml:space="preserve">тате деятельности которых оказалось возможным переселение граждан из </w:t>
      </w:r>
      <w:r>
        <w:rPr>
          <w:rFonts w:ascii="Times New Roman" w:hAnsi="Times New Roman"/>
          <w:sz w:val="28"/>
        </w:rPr>
        <w:t>аварийных многоквартирных домов, расположенных на территории города Ставрополя.</w:t>
      </w:r>
    </w:p>
    <w:p w14:paraId="9D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Подпрограммы 2 будет осуществляться работа по ликвидации аварийного жилищного фонда на те</w:t>
      </w:r>
      <w:r>
        <w:rPr>
          <w:rFonts w:ascii="Times New Roman" w:hAnsi="Times New Roman"/>
          <w:sz w:val="28"/>
        </w:rPr>
        <w:t>рритории города Ставрополя.</w:t>
      </w:r>
    </w:p>
    <w:p w14:paraId="9E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возможности финансирования за счет средств бюджетов Ставропольского края и города Ставрополя, а также за счет средств Фонда содействия реформированию жилищно-коммунального хозяйства Подпрограмма 2 предусматривает решени</w:t>
      </w:r>
      <w:r>
        <w:rPr>
          <w:rFonts w:ascii="Times New Roman" w:hAnsi="Times New Roman"/>
          <w:sz w:val="28"/>
        </w:rPr>
        <w:t>е проблемы переселения граждан из аварийного многоквартирного дома, что позволит:</w:t>
      </w:r>
    </w:p>
    <w:p w14:paraId="9F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сократить площадь аварийного жилищного фонда на 149,8 кв. м;</w:t>
      </w:r>
    </w:p>
    <w:p w14:paraId="A0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переселить 5 граждан из 3 жилых помещений общей площадью                            149,8 кв. м аварийного многок</w:t>
      </w:r>
      <w:r>
        <w:rPr>
          <w:rFonts w:ascii="Times New Roman" w:hAnsi="Times New Roman"/>
          <w:sz w:val="28"/>
        </w:rPr>
        <w:t>вартирного дома, признанного                                        таковым до 01 января 2017 года;</w:t>
      </w:r>
    </w:p>
    <w:p w14:paraId="A1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жилищные права граждан, проживающих в изымаемых жилых помещениях аварийных многоквартирного дома;</w:t>
      </w:r>
    </w:p>
    <w:p w14:paraId="A2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улучшить внешний облик города Ставрополя;</w:t>
      </w:r>
    </w:p>
    <w:p w14:paraId="A3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повыс</w:t>
      </w:r>
      <w:r>
        <w:rPr>
          <w:rFonts w:ascii="Times New Roman" w:hAnsi="Times New Roman"/>
          <w:sz w:val="28"/>
        </w:rPr>
        <w:t>ить инвестиционную привлекательность города Ставрополя.</w:t>
      </w:r>
    </w:p>
    <w:p w14:paraId="A4000000">
      <w:pPr>
        <w:pStyle w:val="Style_4"/>
        <w:ind w:firstLine="53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Программа направлена на обеспечение конституционных и гражданских прав в области жилищного законодательства молодых семей, граждан, проживающих в аварийном многоквартирном доме, создание благоприятных</w:t>
      </w:r>
      <w:r>
        <w:rPr>
          <w:rFonts w:ascii="Times New Roman" w:hAnsi="Times New Roman"/>
          <w:sz w:val="28"/>
        </w:rPr>
        <w:t xml:space="preserve"> и безопасных условий проживания, улучшающих качество и повышающих уровень жизни указанных слоев населения города Ставрополя, стабилизацию демографической ситуации.</w:t>
      </w:r>
    </w:p>
    <w:p w14:paraId="A5000000">
      <w:pPr>
        <w:pStyle w:val="Style_2"/>
        <w:ind w:firstLine="708" w:left="0"/>
        <w:jc w:val="both"/>
        <w:rPr>
          <w:sz w:val="22"/>
        </w:rPr>
      </w:pPr>
      <w:r>
        <w:t>В случае изменения состояния сферы реализации Программы в связи с изменением действующего ж</w:t>
      </w:r>
      <w:r>
        <w:t>илищного законодательства Российской Федерации, уменьшением объемов финансирования, реализация Программы обретет социальные, финансово-экономические и прочие риски, выражающиеся в невыполнении мероприятий Программы и недостижении ожидаемых результатов.</w:t>
      </w:r>
    </w:p>
    <w:p w14:paraId="A6000000">
      <w:pPr>
        <w:pStyle w:val="Style_2"/>
        <w:ind/>
        <w:contextualSpacing w:val="1"/>
        <w:jc w:val="center"/>
      </w:pPr>
      <w:r>
        <w:t>II.</w:t>
      </w:r>
      <w:r>
        <w:t xml:space="preserve"> Цели Программы</w:t>
      </w:r>
    </w:p>
    <w:p w14:paraId="A7000000">
      <w:pPr>
        <w:pStyle w:val="Style_2"/>
        <w:ind/>
        <w:contextualSpacing w:val="1"/>
        <w:jc w:val="both"/>
        <w:rPr>
          <w:sz w:val="20"/>
        </w:rPr>
      </w:pPr>
    </w:p>
    <w:p w14:paraId="A8000000">
      <w:pPr>
        <w:pStyle w:val="Style_4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Программы являются:</w:t>
      </w:r>
    </w:p>
    <w:p w14:paraId="A9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поддержки в решении жилищной проблемы молодым семьям;</w:t>
      </w:r>
    </w:p>
    <w:p w14:paraId="AA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переселения граждан, проживающих в аварийных многоквартирных домах.</w:t>
      </w:r>
    </w:p>
    <w:p w14:paraId="AB000000">
      <w:pPr>
        <w:pStyle w:val="Style_4"/>
        <w:ind w:firstLine="539" w:left="0"/>
        <w:jc w:val="both"/>
      </w:pPr>
    </w:p>
    <w:p w14:paraId="AC000000">
      <w:pPr>
        <w:pStyle w:val="Style_2"/>
        <w:ind/>
        <w:contextualSpacing w:val="1"/>
        <w:jc w:val="center"/>
      </w:pPr>
      <w:r>
        <w:t>III. Сроки реализации Программы</w:t>
      </w:r>
    </w:p>
    <w:p w14:paraId="AD000000">
      <w:pPr>
        <w:pStyle w:val="Style_2"/>
        <w:ind/>
        <w:contextualSpacing w:val="1"/>
        <w:jc w:val="both"/>
      </w:pPr>
    </w:p>
    <w:p w14:paraId="AE000000">
      <w:pPr>
        <w:pStyle w:val="Style_2"/>
        <w:ind w:firstLine="708" w:left="0"/>
        <w:contextualSpacing w:val="1"/>
        <w:jc w:val="both"/>
      </w:pPr>
      <w:r>
        <w:t>Реализация Программы рассчита</w:t>
      </w:r>
      <w:r>
        <w:t>на на 6 лет, с 2023 года по 2028 год включительно.</w:t>
      </w:r>
    </w:p>
    <w:p w14:paraId="AF000000">
      <w:pPr>
        <w:pStyle w:val="Style_2"/>
        <w:ind/>
        <w:contextualSpacing w:val="1"/>
      </w:pPr>
    </w:p>
    <w:p w14:paraId="B0000000">
      <w:pPr>
        <w:ind/>
        <w:jc w:val="center"/>
        <w:outlineLvl w:val="1"/>
        <w:rPr>
          <w:sz w:val="28"/>
        </w:rPr>
      </w:pPr>
      <w:r>
        <w:rPr>
          <w:sz w:val="28"/>
        </w:rPr>
        <w:t>IV. Перечень и общая характеристика мероприятий Программы</w:t>
      </w:r>
    </w:p>
    <w:p w14:paraId="B1000000">
      <w:pPr>
        <w:ind/>
        <w:contextualSpacing w:val="1"/>
        <w:outlineLvl w:val="1"/>
        <w:rPr>
          <w:sz w:val="28"/>
        </w:rPr>
      </w:pPr>
    </w:p>
    <w:p w14:paraId="B2000000">
      <w:pPr>
        <w:ind w:firstLine="709" w:left="0"/>
        <w:jc w:val="both"/>
        <w:rPr>
          <w:sz w:val="28"/>
        </w:rPr>
      </w:pPr>
      <w:r>
        <w:rPr>
          <w:sz w:val="28"/>
        </w:rPr>
        <w:t>Перечень и общая характеристика мероприятий  Программы приведены в приложении 3 к Программе.</w:t>
      </w:r>
    </w:p>
    <w:p w14:paraId="B3000000">
      <w:pPr>
        <w:pStyle w:val="Style_2"/>
        <w:ind w:firstLine="708" w:left="0"/>
        <w:jc w:val="both"/>
      </w:pPr>
    </w:p>
    <w:p w14:paraId="B4000000">
      <w:pPr>
        <w:ind/>
        <w:jc w:val="center"/>
        <w:outlineLvl w:val="1"/>
        <w:rPr>
          <w:sz w:val="28"/>
        </w:rPr>
      </w:pPr>
      <w:r>
        <w:rPr>
          <w:sz w:val="28"/>
        </w:rPr>
        <w:t>V. Ресурсное обеспечение Программы</w:t>
      </w:r>
    </w:p>
    <w:p w14:paraId="B5000000">
      <w:pPr>
        <w:ind/>
        <w:jc w:val="both"/>
        <w:rPr>
          <w:sz w:val="28"/>
        </w:rPr>
      </w:pPr>
      <w:r>
        <w:rPr>
          <w:sz w:val="28"/>
        </w:rPr>
        <w:t>Общий объем финансирования Программы на 2023 - 2028 годы составляет  77058464,20 рубля, из них: 67025464,20 рубля по Подпрограмме 1 и                     10033000 рубля по Подпрограмме 2, в том числе по годам:</w:t>
      </w: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351"/>
      </w:tblGrid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- 28736472,10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- 1870</w:t>
            </w:r>
            <w:r>
              <w:rPr>
                <w:rFonts w:ascii="Times New Roman" w:hAnsi="Times New Roman"/>
                <w:sz w:val="28"/>
              </w:rPr>
              <w:t>3472,10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- 7404630,00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- 7404630,00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- 7404630,00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- 7404630,00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за счет средств: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бюджета Ставропольского края в сумме 22597684,20 рубля, в том числе по годам: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</w:rPr>
              <w:t>11298842,10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- 11298842,10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- 0,00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- 0,00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- 0,00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ind w:firstLine="709" w:left="0"/>
            </w:pPr>
            <w:r>
              <w:rPr>
                <w:sz w:val="28"/>
              </w:rPr>
              <w:t>2028 год - 0,00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бюджета города Ставрополя в сумме 54460780,00  рублей, в том числе по годам: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- 17437630,00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- 7404630,00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- 7404630,00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- 7404630,00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- 7404630,00 рубля;</w:t>
            </w:r>
          </w:p>
        </w:tc>
      </w:tr>
      <w:tr>
        <w:tc>
          <w:tcPr>
            <w:tcW w:type="dxa" w:w="935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4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- 7404630,00 рубля;</w:t>
            </w:r>
          </w:p>
        </w:tc>
      </w:tr>
    </w:tbl>
    <w:p w14:paraId="CB000000">
      <w:pPr>
        <w:ind w:firstLine="709" w:left="0"/>
        <w:jc w:val="both"/>
        <w:rPr>
          <w:sz w:val="28"/>
        </w:rPr>
      </w:pPr>
      <w:r>
        <w:rPr>
          <w:sz w:val="28"/>
        </w:rPr>
        <w:t>за счет собственных и заемных средств молодых семей, используемых для частичной оплаты стоимости приобрета</w:t>
      </w:r>
      <w:r>
        <w:rPr>
          <w:sz w:val="28"/>
        </w:rPr>
        <w:t>емого жилья или строительства жилого дома.</w:t>
      </w:r>
    </w:p>
    <w:p w14:paraId="CC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 Фонда содействия реформированию жилищно-коммунального хозяйства и бюджета Ставропольского края предусмотрены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"consultantplus://offline/ref=F2EEAB229540BE410D79423E1992039A640A0B852CAC2126E2499714EB0BFF929F74D870603780F5D28E4777AFxFXEI"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21 июля 2007 г. № 185-ФЗ «О Фонде содействия реформированию жилищно-коммунального хозяйства»,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"consultantplus://offline/ref=F2EEAB229540BE410D795C330FFE5D906700548D2BA32B71B6149143B45BF9C7CD348629317BCBF8D4985B77ABE2DECDD3xBX1I"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Ставропольского края от 01 апреля 2019 г. № 126-п                     «Об утверждении краевой адресной программы «Переселение граждан из аварийного жилищного </w:t>
      </w:r>
      <w:r>
        <w:rPr>
          <w:rFonts w:ascii="Times New Roman" w:hAnsi="Times New Roman"/>
          <w:sz w:val="28"/>
        </w:rPr>
        <w:t>фонда в Ставропольском крае в 2019 - 2023 годах».</w:t>
      </w:r>
    </w:p>
    <w:p w14:paraId="CD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предоставления гражданину, переселяемому 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</w:t>
      </w:r>
      <w:r>
        <w:rPr>
          <w:rFonts w:ascii="Times New Roman" w:hAnsi="Times New Roman"/>
          <w:sz w:val="28"/>
        </w:rPr>
        <w:t>оквартирном доме, но не более чем на 20 процентов минимального размера площади квартир (равного соответственно 28 кв. м - для однокомнатных квартир, 44 кв. м - для двухкомнатных квартир, 56 кв. м - для трехкомнатных квартир), финансирование расходов на опл</w:t>
      </w:r>
      <w:r>
        <w:rPr>
          <w:rFonts w:ascii="Times New Roman" w:hAnsi="Times New Roman"/>
          <w:sz w:val="28"/>
        </w:rPr>
        <w:t>ату стоимости такого превышения осуществляется за счет средств бюджета Ставропольского края и (или) бюджета города Ставрополя.</w:t>
      </w:r>
    </w:p>
    <w:p w14:paraId="CE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предоставления гражданину, переселяемому из аварийного многоквартирного дома, жилого помещения, общая площадь которого п</w:t>
      </w:r>
      <w:r>
        <w:rPr>
          <w:rFonts w:ascii="Times New Roman" w:hAnsi="Times New Roman"/>
          <w:sz w:val="28"/>
        </w:rPr>
        <w:t>ревышает общую площадь ранее занимаемого им жилого помещения в аварийном многоквартирном доме более чем на 20 процентов минимального размера площади квартир, финансирование расходов на оплату стоимости такого превышения осуществляется исключительно за счет</w:t>
      </w:r>
      <w:r>
        <w:rPr>
          <w:rFonts w:ascii="Times New Roman" w:hAnsi="Times New Roman"/>
          <w:sz w:val="28"/>
        </w:rPr>
        <w:t xml:space="preserve"> средств бюджета города Ставрополя.</w:t>
      </w:r>
    </w:p>
    <w:p w14:paraId="CF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Подпрограммы 1 и Подпрограммы 2 объемы финансовых средств, направляемых на ее реализацию, могут корректироваться.</w:t>
      </w:r>
    </w:p>
    <w:p w14:paraId="D0000000">
      <w:pPr>
        <w:ind w:firstLine="709" w:left="0"/>
        <w:jc w:val="both"/>
        <w:rPr>
          <w:sz w:val="28"/>
        </w:rPr>
      </w:pPr>
    </w:p>
    <w:p w14:paraId="D1000000">
      <w:pPr>
        <w:pStyle w:val="Style_2"/>
        <w:ind w:firstLine="0" w:left="360"/>
        <w:contextualSpacing w:val="1"/>
        <w:jc w:val="center"/>
      </w:pPr>
      <w:r>
        <w:t>VI. Система управления реализацией Программы</w:t>
      </w:r>
    </w:p>
    <w:p w14:paraId="D2000000">
      <w:pPr>
        <w:ind w:firstLine="709" w:left="0"/>
        <w:jc w:val="both"/>
        <w:rPr>
          <w:sz w:val="28"/>
        </w:rPr>
      </w:pPr>
    </w:p>
    <w:p w14:paraId="D3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Текущее управление реализацией и </w:t>
      </w:r>
      <w:r>
        <w:rPr>
          <w:rFonts w:ascii="Times New Roman" w:hAnsi="Times New Roman"/>
          <w:sz w:val="28"/>
        </w:rPr>
        <w:t>реализация Программы осуществляется комитетом по управлению муниципальным имуществом города Ставрополя, являющимся ответственным исполнителем Программы, в соответствии с детальным планом-графиком реализации Программы на очередной финансовый год (далее - де</w:t>
      </w:r>
      <w:r>
        <w:rPr>
          <w:rFonts w:ascii="Times New Roman" w:hAnsi="Times New Roman"/>
          <w:sz w:val="28"/>
        </w:rPr>
        <w:t>тальный план-график).</w:t>
      </w:r>
    </w:p>
    <w:p w14:paraId="D4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по управлению муниципальным имуществом города Ставрополя:</w:t>
      </w:r>
    </w:p>
    <w:p w14:paraId="D5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 разрабатывает детальный план-график 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"consultantplus://offline/ref=F2EEAB229540BE410D795C330FFE5D906700548D2BA22A76B61D9143B45BF9C7CD348629237B93F4D4904771ADF7889C95E6548F4F16C4C890589875xCX8I"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согласно приложению 4 к Порядку принятия решения о разработке муниципальных программ, их формирования и реализации, утвержденному постановлением администрации города Ставрополя от 26.08.2019 № 2382, и </w:t>
      </w:r>
      <w:r>
        <w:rPr>
          <w:rFonts w:ascii="Times New Roman" w:hAnsi="Times New Roman"/>
          <w:sz w:val="28"/>
        </w:rPr>
        <w:t xml:space="preserve">направляет его в комитет экономического развития и торговли администрации города Ставрополя на согласование не позднее 01 декабря года, предшествующего </w:t>
      </w:r>
      <w:r>
        <w:rPr>
          <w:rFonts w:ascii="Times New Roman" w:hAnsi="Times New Roman"/>
          <w:sz w:val="28"/>
        </w:rPr>
        <w:t>очередному финансовому году;</w:t>
      </w:r>
    </w:p>
    <w:p w14:paraId="D6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 утверждает детальный план-график, согласованный с комитетом эконом</w:t>
      </w:r>
      <w:r>
        <w:rPr>
          <w:rFonts w:ascii="Times New Roman" w:hAnsi="Times New Roman"/>
          <w:sz w:val="28"/>
        </w:rPr>
        <w:t>ического развития и торговли администрации города Ставрополя, в срок до 31 декабря года, предшествующего очередному финансовому году;</w:t>
      </w:r>
    </w:p>
    <w:p w14:paraId="D7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 представляет в комитет экономического развития и торговли администрации города Ставрополя сводный годовой отчет о</w:t>
      </w:r>
      <w:r>
        <w:rPr>
          <w:rFonts w:ascii="Times New Roman" w:hAnsi="Times New Roman"/>
          <w:sz w:val="28"/>
        </w:rPr>
        <w:t xml:space="preserve"> ходе реализации и об оценке эффективности реализации Программы за отчетный финансовый год 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"consultantplus://offline/ref=F2EEAB229540BE410D795C330FFE5D906700548D2BA22D78BB1C9143B45BF9C7CD348629237B93F4D4904475A9F7889C95E6548F4F16C4C890589875xCX8I"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согласно приложению к Порядку проведения оценки эффективности реализации муниципальных программ, утвержденному постановлением администрации города Ставрополя от 13.03.2018 № 417, согласованный с комитетом финансов и бюджета администрации город</w:t>
      </w:r>
      <w:r>
        <w:rPr>
          <w:rFonts w:ascii="Times New Roman" w:hAnsi="Times New Roman"/>
          <w:sz w:val="28"/>
        </w:rPr>
        <w:t>а Ставрополя, в срок до 15 февраля года, следующего за отчетным;</w:t>
      </w:r>
    </w:p>
    <w:p w14:paraId="D8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ежеквартально представляет в комитет экономического развития и торговли администрации города Ставрополя информацию, необходимую для проведения мониторинга хода реализации Программы по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"consultantplus://offline/ref=F2EEAB229540BE410D795C330FFE5D906700548D2BAD2C75B8149143B45BF9C7CD348629237B93F4D4904570ADF7889C95E6548F4F16C4C890589875xCX8I"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согласно приложению к Порядку осуществления мониторинга и контроля реализации документов</w:t>
      </w:r>
      <w:r>
        <w:rPr>
          <w:rFonts w:ascii="Times New Roman" w:hAnsi="Times New Roman"/>
          <w:sz w:val="28"/>
        </w:rPr>
        <w:t xml:space="preserve"> стратегического планирования, утвержденных администрацией города Ставрополя, утвержденному постановлением администрации города Ставрополя от 11.01.2016 № 9, с приложением пояснительной записки в срок до 15 числа месяца, следующего за отчетным периодом.</w:t>
      </w:r>
    </w:p>
    <w:p w14:paraId="D9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процессе реализации Программы комитет по управлению муниципальным имуществом города Ставрополя готовит проект изменений в Программу по следующим основаниям:</w:t>
      </w:r>
    </w:p>
    <w:p w14:paraId="DA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приведение Программы в соответствие с решением о бюджете города Ставрополя на очередной финансовый </w:t>
      </w:r>
      <w:r>
        <w:rPr>
          <w:rFonts w:ascii="Times New Roman" w:hAnsi="Times New Roman"/>
          <w:sz w:val="28"/>
        </w:rPr>
        <w:t>год и плановый период;</w:t>
      </w:r>
    </w:p>
    <w:p w14:paraId="DB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законодательства;</w:t>
      </w:r>
    </w:p>
    <w:p w14:paraId="DC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решений администрации города Ставрополя по результатам оценки эффективности реализации;</w:t>
      </w:r>
    </w:p>
    <w:p w14:paraId="DD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условий предоставления межбюджетных трансфертов из федерального бюджета и бюджета Ставропольско</w:t>
      </w:r>
      <w:r>
        <w:rPr>
          <w:rFonts w:ascii="Times New Roman" w:hAnsi="Times New Roman"/>
          <w:sz w:val="28"/>
        </w:rPr>
        <w:t>го края;</w:t>
      </w:r>
    </w:p>
    <w:p w14:paraId="DE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включение в Программу новых подпрограмм (основных мероприятий);</w:t>
      </w:r>
    </w:p>
    <w:p w14:paraId="DF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уточнение показателей (индикаторов) достижения цели Программы и (или) показателей решения задач Подпрограммы, механизма реализации Программы, перечня и состава мероприятий Программы, </w:t>
      </w:r>
      <w:r>
        <w:rPr>
          <w:rFonts w:ascii="Times New Roman" w:hAnsi="Times New Roman"/>
          <w:sz w:val="28"/>
        </w:rPr>
        <w:t>сроков их реализации с учетом выделяемых на реализацию Программы финансовых средств.</w:t>
      </w:r>
    </w:p>
    <w:p w14:paraId="E0000000">
      <w:pPr>
        <w:pStyle w:val="Style_4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 реализации Программы осуществляется комитетом экономического развития и торговли администрации города Ставрополя ежеквартально на основании детального плана-гра</w:t>
      </w:r>
      <w:r>
        <w:rPr>
          <w:rFonts w:ascii="Times New Roman" w:hAnsi="Times New Roman"/>
          <w:sz w:val="28"/>
        </w:rPr>
        <w:t>фика, разрабатываемого в порядке, установленном постановлением администрации города Ставрополя.</w:t>
      </w:r>
    </w:p>
    <w:p w14:paraId="E1000000">
      <w:pPr>
        <w:pStyle w:val="Style_4"/>
        <w:ind/>
        <w:jc w:val="both"/>
        <w:rPr>
          <w:rFonts w:ascii="Times New Roman" w:hAnsi="Times New Roman"/>
          <w:sz w:val="24"/>
        </w:rPr>
      </w:pPr>
    </w:p>
    <w:p w14:paraId="E2000000">
      <w:pPr>
        <w:pStyle w:val="Style_4"/>
        <w:ind/>
        <w:jc w:val="both"/>
        <w:rPr>
          <w:rFonts w:ascii="Times New Roman" w:hAnsi="Times New Roman"/>
          <w:sz w:val="24"/>
        </w:rPr>
      </w:pPr>
    </w:p>
    <w:p w14:paraId="E3000000">
      <w:pPr>
        <w:pStyle w:val="Style_4"/>
        <w:ind/>
        <w:jc w:val="both"/>
        <w:rPr>
          <w:rFonts w:ascii="Times New Roman" w:hAnsi="Times New Roman"/>
          <w:sz w:val="24"/>
        </w:rPr>
      </w:pPr>
    </w:p>
    <w:p w14:paraId="E4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E5000000">
      <w:pPr>
        <w:pStyle w:val="Style_4"/>
        <w:tabs>
          <w:tab w:leader="none" w:pos="6945" w:val="left"/>
        </w:tabs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В.В. Зритнев </w:t>
      </w:r>
      <w:bookmarkStart w:id="1" w:name="_GoBack"/>
      <w:bookmarkEnd w:id="1"/>
    </w:p>
    <w:sectPr>
      <w:headerReference r:id="rId1" w:type="default"/>
      <w:pgSz w:h="16838" w:orient="portrait" w:w="11906"/>
      <w:pgMar w:bottom="1134" w:footer="708" w:gutter="0" w:header="708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5_ch"/>
    <w:link w:val="Style_12"/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Calibri" w:hAnsi="Calibri"/>
    </w:rPr>
  </w:style>
  <w:style w:styleId="Style_4_ch" w:type="character">
    <w:name w:val="ConsPlusNormal"/>
    <w:link w:val="Style_4"/>
    <w:rPr>
      <w:rFonts w:ascii="Calibri" w:hAnsi="Calibri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No Spacing"/>
    <w:link w:val="Style_2"/>
    <w:rPr>
      <w:rFonts w:ascii="Times New Roman" w:hAnsi="Times New Roman"/>
      <w:sz w:val="28"/>
    </w:rPr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Body Text"/>
    <w:basedOn w:val="Style_5"/>
    <w:link w:val="Style_14_ch"/>
    <w:pPr>
      <w:ind/>
      <w:jc w:val="both"/>
    </w:pPr>
    <w:rPr>
      <w:sz w:val="28"/>
    </w:rPr>
  </w:style>
  <w:style w:styleId="Style_14_ch" w:type="character">
    <w:name w:val="Body Text"/>
    <w:basedOn w:val="Style_5_ch"/>
    <w:link w:val="Style_14"/>
    <w:rPr>
      <w:sz w:val="28"/>
    </w:rPr>
  </w:style>
  <w:style w:styleId="Style_15" w:type="paragraph">
    <w:name w:val="toc 3"/>
    <w:next w:val="Style_5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5"/>
    <w:link w:val="Style_16_ch"/>
    <w:rPr>
      <w:rFonts w:ascii="Segoe UI" w:hAnsi="Segoe UI"/>
      <w:sz w:val="18"/>
    </w:rPr>
  </w:style>
  <w:style w:styleId="Style_16_ch" w:type="character">
    <w:name w:val="Balloon Text"/>
    <w:basedOn w:val="Style_5_ch"/>
    <w:link w:val="Style_16"/>
    <w:rPr>
      <w:rFonts w:ascii="Segoe UI" w:hAnsi="Segoe UI"/>
      <w:sz w:val="18"/>
    </w:rPr>
  </w:style>
  <w:style w:styleId="Style_17" w:type="paragraph">
    <w:name w:val="Обычный1"/>
    <w:link w:val="Style_17_ch"/>
    <w:rPr>
      <w:rFonts w:ascii="Times New Roman" w:hAnsi="Times New Roman"/>
      <w:sz w:val="24"/>
    </w:rPr>
  </w:style>
  <w:style w:styleId="Style_17_ch" w:type="character">
    <w:name w:val="Обычный1"/>
    <w:link w:val="Style_17"/>
    <w:rPr>
      <w:rFonts w:ascii="Times New Roman" w:hAnsi="Times New Roman"/>
      <w:sz w:val="24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5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toc 5"/>
    <w:next w:val="Style_5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ConsPlusTitle"/>
    <w:link w:val="Style_29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9_ch" w:type="character">
    <w:name w:val="ConsPlusTitle"/>
    <w:link w:val="Style_29"/>
    <w:rPr>
      <w:rFonts w:ascii="Calibri" w:hAnsi="Calibri"/>
      <w:b w:val="1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Subtitle"/>
    <w:basedOn w:val="Style_5"/>
    <w:link w:val="Style_31_ch"/>
    <w:uiPriority w:val="11"/>
    <w:qFormat/>
    <w:pPr>
      <w:ind/>
      <w:jc w:val="center"/>
    </w:pPr>
    <w:rPr>
      <w:b w:val="1"/>
      <w:sz w:val="32"/>
    </w:rPr>
  </w:style>
  <w:style w:styleId="Style_31_ch" w:type="character">
    <w:name w:val="Subtitle"/>
    <w:basedOn w:val="Style_5_ch"/>
    <w:link w:val="Style_31"/>
    <w:rPr>
      <w:b w:val="1"/>
      <w:sz w:val="32"/>
    </w:rPr>
  </w:style>
  <w:style w:styleId="Style_32" w:type="paragraph">
    <w:name w:val="Обычный1"/>
    <w:link w:val="Style_32_ch"/>
    <w:rPr>
      <w:rFonts w:ascii="Times New Roman" w:hAnsi="Times New Roman"/>
      <w:sz w:val="24"/>
    </w:rPr>
  </w:style>
  <w:style w:styleId="Style_32_ch" w:type="character">
    <w:name w:val="Обычный1"/>
    <w:link w:val="Style_32"/>
    <w:rPr>
      <w:rFonts w:ascii="Times New Roman" w:hAnsi="Times New Roman"/>
      <w:sz w:val="24"/>
    </w:rPr>
  </w:style>
  <w:style w:styleId="Style_33" w:type="paragraph">
    <w:name w:val="Title"/>
    <w:basedOn w:val="Style_5"/>
    <w:link w:val="Style_33_ch"/>
    <w:uiPriority w:val="10"/>
    <w:qFormat/>
    <w:pPr>
      <w:ind/>
      <w:jc w:val="center"/>
    </w:pPr>
    <w:rPr>
      <w:b w:val="1"/>
    </w:rPr>
  </w:style>
  <w:style w:styleId="Style_33_ch" w:type="character">
    <w:name w:val="Title"/>
    <w:basedOn w:val="Style_5_ch"/>
    <w:link w:val="Style_33"/>
    <w:rPr>
      <w:b w:val="1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1" w:type="paragraph">
    <w:name w:val="HTML Preformatted"/>
    <w:basedOn w:val="Style_5"/>
    <w:link w:val="Style_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_ch" w:type="character">
    <w:name w:val="HTML Preformatted"/>
    <w:basedOn w:val="Style_5_ch"/>
    <w:link w:val="Style_1"/>
    <w:rPr>
      <w:rFonts w:ascii="Courier New" w:hAnsi="Courier New"/>
      <w:sz w:val="20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header"/>
    <w:basedOn w:val="Style_5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header"/>
    <w:basedOn w:val="Style_5_ch"/>
    <w:link w:val="Style_36"/>
  </w:style>
  <w:style w:styleId="Style_37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2022-09-06T07:59:42Z</dcterms:modified>
</cp:coreProperties>
</file>