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before="0" w:line="240" w:lineRule="exact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О 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по </w:t>
      </w:r>
      <w:r>
        <w:rPr>
          <w:rFonts w:ascii="Times New Roman" w:hAnsi="Times New Roman"/>
          <w:sz w:val="28"/>
        </w:rPr>
        <w:t>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В соответствии с Бюджетным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/>
        </w:rPr>
        <w:t>кодексом</w:t>
      </w:r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Российской Федерации, федеральными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/>
        </w:rPr>
        <w:t>закон</w:t>
      </w:r>
      <w:r>
        <w:rPr>
          <w:rFonts w:ascii="Times New Roman" w:hAnsi="Times New Roman"/>
          <w:sz w:val="28"/>
        </w:rPr>
        <w:t>ами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 декабря 2012 г. № 273-ФЗ «Об образовании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 Ставропольского края от 30 июля 2013 г. № 72-кз «Об образовании»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u w:color="000000"/>
        </w:rPr>
        <w:t xml:space="preserve"> Уставом</w:t>
      </w:r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</w:p>
    <w:p w14:paraId="0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before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Установить расходное обязательство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</w:t>
      </w:r>
      <w:r>
        <w:rPr>
          <w:rFonts w:ascii="Times New Roman" w:hAnsi="Times New Roman"/>
          <w:sz w:val="28"/>
        </w:rPr>
        <w:t>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(далее – расходное обязательство)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Определить исполнителем расходного обязательства комитет образования администрации города Ставрополя.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Установить, что средства на исполнение расходного обязательства направляются на обеспечение дополнительного профессионального образования по профилю педагогической деятельности педагогических работников муниципальных общеобразовательных организаций города Ставрополя.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Установить, что финансовое обеспечение расходного обязательства осуществляется за счет средств, предусмотренных в бюджете города Ставрополя на соответствующий финансовый год на цели, указанные                       в пункте 1 настоящего постановления.</w:t>
      </w:r>
    </w:p>
    <w:p w14:paraId="1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Настоящее постановление вступает в силу на следующий день после дня его официального опубликования в сетевом издании «Правовой портал </w:t>
      </w:r>
      <w:r>
        <w:rPr>
          <w:rFonts w:ascii="Times New Roman" w:hAnsi="Times New Roman"/>
          <w:sz w:val="28"/>
        </w:rPr>
        <w:t xml:space="preserve">администрации города Ставрополя» (право-ставрополь.рф) </w:t>
      </w:r>
      <w:r>
        <w:rPr>
          <w:rFonts w:ascii="Times New Roman" w:hAnsi="Times New Roman"/>
          <w:sz w:val="28"/>
        </w:rPr>
        <w:t>и распространяется на правоотношения, возникшие с 01 января 2024 года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Контроль исполнения настоящего постановления возложить                                                                              на первого заместителя главы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Диреганову А.В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И.И. Ульянченко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o Spacing"/>
    <w:link w:val="Style_5_ch"/>
  </w:style>
  <w:style w:styleId="Style_5_ch" w:type="character">
    <w:name w:val="No Spacing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2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4_ch" w:type="character">
    <w:name w:val="Title"/>
    <w:basedOn w:val="Style_2_ch"/>
    <w:link w:val="Style_24"/>
    <w:rPr>
      <w:rFonts w:ascii="Times New Roman" w:hAnsi="Times New Roman"/>
      <w:spacing w:val="-20"/>
      <w:sz w:val="36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2024-09-17T13:45:03Z</dcterms:modified>
</cp:coreProperties>
</file>