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exact"/>
      </w:pPr>
      <w:r/>
      <w:bookmarkStart w:id="0" w:name="P34"/>
      <w:r/>
      <w:bookmarkStart w:id="1" w:name="Заголовок"/>
      <w:r/>
      <w:bookmarkEnd w:id="0"/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</w:pPr>
      <w:r/>
      <w:r/>
    </w:p>
    <w:p>
      <w:pPr>
        <w:jc w:val="both"/>
        <w:spacing w:line="240" w:lineRule="exact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jc w:val="both"/>
        <w:spacing w:line="240" w:lineRule="exact"/>
        <w:rPr>
          <w:szCs w:val="28"/>
        </w:rPr>
      </w:pPr>
      <w:r>
        <w:rPr>
          <w:szCs w:val="28"/>
        </w:rPr>
      </w:r>
      <w:r/>
    </w:p>
    <w:p>
      <w:pPr>
        <w:jc w:val="both"/>
        <w:spacing w:before="240" w:line="260" w:lineRule="exact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 внесении изменений в муниципальную программу «Молодежь города Ставрополя», утвержденную постановлением администрации города Ставрополя от 02.11.2022 № 2346 «Об утверждении муниципальной программы «Молодежь города Ставрополя» </w:t>
      </w:r>
      <w:r/>
    </w:p>
    <w:p>
      <w:pPr>
        <w:ind w:firstLine="851"/>
        <w:jc w:val="both"/>
        <w:rPr>
          <w:szCs w:val="28"/>
        </w:rPr>
      </w:pPr>
      <w:r>
        <w:rPr>
          <w:szCs w:val="28"/>
        </w:rPr>
      </w:r>
      <w:r/>
    </w:p>
    <w:p>
      <w:pPr>
        <w:pStyle w:val="893"/>
        <w:ind w:firstLine="709"/>
        <w:jc w:val="both"/>
      </w:pPr>
      <w:r>
        <w:rPr>
          <w:szCs w:val="28"/>
        </w:rPr>
        <w:t xml:space="preserve">В соответствии с решением Ставропольской городской Думы                   от </w:t>
      </w:r>
      <w:r>
        <w:rPr>
          <w:szCs w:val="28"/>
        </w:rPr>
        <w:t xml:space="preserve">30</w:t>
      </w:r>
      <w:r>
        <w:rPr>
          <w:szCs w:val="28"/>
        </w:rPr>
        <w:t xml:space="preserve"> </w:t>
      </w:r>
      <w:r>
        <w:rPr>
          <w:szCs w:val="28"/>
        </w:rPr>
        <w:t xml:space="preserve">ноября</w:t>
      </w:r>
      <w:r>
        <w:rPr>
          <w:szCs w:val="28"/>
        </w:rPr>
        <w:t xml:space="preserve"> 202</w:t>
      </w:r>
      <w:r>
        <w:rPr>
          <w:szCs w:val="28"/>
        </w:rPr>
        <w:t xml:space="preserve">2</w:t>
      </w:r>
      <w:r>
        <w:rPr>
          <w:szCs w:val="28"/>
        </w:rPr>
        <w:t xml:space="preserve"> г. № </w:t>
      </w:r>
      <w:r>
        <w:rPr>
          <w:szCs w:val="28"/>
        </w:rPr>
        <w:t xml:space="preserve">134</w:t>
      </w:r>
      <w:r>
        <w:rPr>
          <w:szCs w:val="28"/>
        </w:rPr>
        <w:t xml:space="preserve"> «О бюджете города Ставрополя на 202</w:t>
      </w:r>
      <w:r>
        <w:rPr>
          <w:szCs w:val="28"/>
        </w:rPr>
        <w:t xml:space="preserve">3</w:t>
      </w:r>
      <w:r>
        <w:rPr>
          <w:szCs w:val="28"/>
        </w:rPr>
        <w:t xml:space="preserve"> год                    и плановый период 202</w:t>
      </w:r>
      <w:r>
        <w:rPr>
          <w:szCs w:val="28"/>
        </w:rPr>
        <w:t xml:space="preserve">4</w:t>
      </w:r>
      <w:r>
        <w:rPr>
          <w:szCs w:val="28"/>
        </w:rPr>
        <w:t xml:space="preserve"> и 202</w:t>
      </w:r>
      <w:r>
        <w:rPr>
          <w:szCs w:val="28"/>
        </w:rPr>
        <w:t xml:space="preserve">5</w:t>
      </w:r>
      <w:r>
        <w:rPr>
          <w:szCs w:val="28"/>
        </w:rPr>
        <w:t xml:space="preserve"> годов», </w:t>
      </w:r>
      <w:hyperlink r:id="rId13" w:tooltip="consultantplus://offline/ref=6AAA0F3F92235522690E55EAC7B1A4B076683F4420087ADDF888DD03765D4EEF8378CD894DB4D2DB01C0FB4CiBSCJ" w:history="1">
        <w:r>
          <w:rPr>
            <w:rStyle w:val="913"/>
            <w:rFonts w:eastAsia="Arial Unicode MS"/>
            <w:color w:val="auto"/>
            <w:szCs w:val="28"/>
            <w:u w:val="none"/>
          </w:rPr>
          <w:t xml:space="preserve">постановлением</w:t>
        </w:r>
      </w:hyperlink>
      <w:r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</w:t>
      </w:r>
      <w:r>
        <w:rPr>
          <w:szCs w:val="28"/>
        </w:rPr>
        <w:t xml:space="preserve"> финансирования</w:t>
      </w:r>
      <w:r>
        <w:rPr>
          <w:szCs w:val="28"/>
        </w:rPr>
      </w:r>
      <w:r/>
    </w:p>
    <w:p>
      <w:pPr>
        <w:ind w:firstLine="0"/>
        <w:jc w:val="both"/>
        <w:rPr>
          <w:szCs w:val="28"/>
          <w:highlight w:val="white"/>
        </w:rPr>
      </w:pPr>
      <w:r>
        <w:rPr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</w:pPr>
      <w:r>
        <w:t xml:space="preserve">ПОСТАНОВЛЯЮ</w:t>
      </w:r>
      <w:r/>
    </w:p>
    <w:p>
      <w:pPr>
        <w:jc w:val="both"/>
      </w:pPr>
      <w:r/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0"/>
        </w:rPr>
        <w:t xml:space="preserve">1. Внести в муниципальную программу «Молодежь города Ставрополя», </w:t>
      </w:r>
      <w:r>
        <w:rPr>
          <w:color w:val="000000" w:themeColor="text1"/>
          <w:szCs w:val="28"/>
        </w:rPr>
        <w:t xml:space="preserve">утвержденную постановлением администрации города Ставрополя от </w:t>
      </w:r>
      <w:r>
        <w:rPr>
          <w:color w:val="000000" w:themeColor="text1"/>
          <w:szCs w:val="28"/>
        </w:rPr>
        <w:t xml:space="preserve">02.11.2022 № 2346</w:t>
      </w:r>
      <w:r>
        <w:rPr>
          <w:color w:val="000000" w:themeColor="text1"/>
          <w:szCs w:val="28"/>
        </w:rPr>
        <w:t xml:space="preserve"> «Об утверждении муниципальной программы «Молодежь города Ставрополя» (далее - Программа), следующие изменения: </w:t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1)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позицию «Объемы и источники финансового обеспечения Программы» паспорта Программы изложить в следующей редакции: </w:t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«общий объем финансовых средств на реализацию Программы составляет </w:t>
      </w:r>
      <w:r>
        <w:rPr>
          <w:color w:val="000000" w:themeColor="text1"/>
          <w:szCs w:val="28"/>
        </w:rPr>
        <w:t xml:space="preserve">104 585,97</w:t>
      </w:r>
      <w:r>
        <w:rPr>
          <w:color w:val="000000" w:themeColor="text1"/>
          <w:szCs w:val="28"/>
        </w:rPr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тыс. рублей, в том числе: 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2023 год – 15 928,61 тыс. рублей; 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2024 год – 15 930,28 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2025 год – 15 </w:t>
      </w:r>
      <w:r>
        <w:rPr>
          <w:color w:val="000000" w:themeColor="text1"/>
          <w:szCs w:val="20"/>
        </w:rPr>
        <w:t xml:space="preserve">932,</w:t>
      </w:r>
      <w:r>
        <w:rPr>
          <w:color w:val="000000" w:themeColor="text1"/>
          <w:szCs w:val="20"/>
        </w:rPr>
        <w:t xml:space="preserve">02 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2026 год – 18 </w:t>
      </w:r>
      <w:r>
        <w:rPr>
          <w:color w:val="000000" w:themeColor="text1"/>
          <w:szCs w:val="20"/>
        </w:rPr>
        <w:t xml:space="preserve">932,</w:t>
      </w:r>
      <w:r>
        <w:rPr>
          <w:color w:val="000000" w:themeColor="text1"/>
          <w:szCs w:val="20"/>
        </w:rPr>
        <w:t xml:space="preserve">02 тыс. рублей; </w:t>
      </w:r>
      <w:r/>
    </w:p>
    <w:p>
      <w:pPr>
        <w:ind w:left="69" w:right="126" w:firstLine="640"/>
        <w:jc w:val="both"/>
        <w:widowControl w:val="off"/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2027 год – </w:t>
      </w:r>
      <w:r>
        <w:rPr>
          <w:color w:val="000000" w:themeColor="text1"/>
          <w:szCs w:val="20"/>
        </w:rPr>
        <w:t xml:space="preserve">18 </w:t>
      </w:r>
      <w:r>
        <w:rPr>
          <w:color w:val="000000" w:themeColor="text1"/>
          <w:szCs w:val="20"/>
        </w:rPr>
        <w:t xml:space="preserve">932,</w:t>
      </w:r>
      <w:r>
        <w:rPr>
          <w:color w:val="000000" w:themeColor="text1"/>
          <w:szCs w:val="20"/>
        </w:rPr>
        <w:t xml:space="preserve">02</w:t>
      </w:r>
      <w:r>
        <w:rPr>
          <w:color w:val="000000" w:themeColor="text1"/>
          <w:szCs w:val="20"/>
        </w:rPr>
        <w:t xml:space="preserve"> тыс. рублей; </w:t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  <w:szCs w:val="20"/>
        </w:rPr>
      </w:pPr>
      <w:r>
        <w:rPr>
          <w:color w:val="000000" w:themeColor="text1"/>
          <w:szCs w:val="20"/>
        </w:rPr>
        <w:t xml:space="preserve">2028 год – </w:t>
      </w:r>
      <w:r>
        <w:rPr>
          <w:color w:val="000000" w:themeColor="text1"/>
          <w:szCs w:val="20"/>
        </w:rPr>
        <w:t xml:space="preserve">18 </w:t>
      </w:r>
      <w:r>
        <w:rPr>
          <w:color w:val="000000" w:themeColor="text1"/>
          <w:szCs w:val="20"/>
        </w:rPr>
        <w:t xml:space="preserve">931,</w:t>
      </w:r>
      <w:r>
        <w:rPr>
          <w:color w:val="000000" w:themeColor="text1"/>
          <w:szCs w:val="20"/>
        </w:rPr>
        <w:t xml:space="preserve">02</w:t>
      </w:r>
      <w:r>
        <w:rPr>
          <w:color w:val="000000" w:themeColor="text1"/>
          <w:szCs w:val="20"/>
        </w:rPr>
        <w:t xml:space="preserve"> тыс. рублей;</w:t>
      </w:r>
      <w:r/>
    </w:p>
    <w:p>
      <w:pPr>
        <w:ind w:right="-2" w:firstLine="709"/>
        <w:jc w:val="both"/>
        <w:widowControl w:val="off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</w:t>
      </w:r>
      <w:r>
        <w:rPr>
          <w:color w:val="000000" w:themeColor="text1"/>
          <w:szCs w:val="28"/>
        </w:rPr>
        <w:t xml:space="preserve">) раздел 5 «Ресурсное обеспечение Программы» изложить в следующей редакции:</w:t>
      </w:r>
      <w:r/>
    </w:p>
    <w:p>
      <w:pPr>
        <w:ind w:right="-2" w:firstLine="709"/>
        <w:jc w:val="center"/>
        <w:widowControl w:val="off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«</w:t>
      </w:r>
      <w:r>
        <w:rPr>
          <w:color w:val="000000" w:themeColor="text1"/>
          <w:szCs w:val="28"/>
        </w:rPr>
        <w:t xml:space="preserve">5. Ресурсное обеспечение Программы</w:t>
      </w:r>
      <w:r/>
    </w:p>
    <w:p>
      <w:pPr>
        <w:ind w:right="-2" w:firstLine="709"/>
        <w:jc w:val="both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contextualSpacing/>
        <w:ind w:right="-2" w:firstLine="709"/>
        <w:jc w:val="both"/>
        <w:tabs>
          <w:tab w:val="left" w:pos="993" w:leader="none"/>
        </w:tabs>
        <w:rPr>
          <w:color w:val="000000"/>
          <w:szCs w:val="28"/>
        </w:rPr>
      </w:pPr>
      <w:r>
        <w:rPr>
          <w:color w:val="000000" w:themeColor="text1"/>
          <w:szCs w:val="20"/>
        </w:rPr>
        <w:t xml:space="preserve">Финансирование Программы в 2023 – 2028 годах осуществляется за счет средств бюджета города Ставрополя в </w:t>
      </w:r>
      <w:r>
        <w:rPr>
          <w:color w:val="000000" w:themeColor="text1"/>
          <w:szCs w:val="28"/>
        </w:rPr>
        <w:t xml:space="preserve">сумме </w:t>
      </w:r>
      <w:r>
        <w:rPr>
          <w:color w:val="000000" w:themeColor="text1"/>
          <w:szCs w:val="28"/>
        </w:rPr>
        <w:t xml:space="preserve">104</w:t>
      </w:r>
      <w:r>
        <w:rPr>
          <w:color w:val="000000" w:themeColor="text1"/>
          <w:szCs w:val="28"/>
        </w:rPr>
        <w:t xml:space="preserve"> 585</w:t>
      </w:r>
      <w:r>
        <w:rPr>
          <w:color w:val="000000" w:themeColor="text1"/>
          <w:szCs w:val="28"/>
        </w:rPr>
        <w:t xml:space="preserve">,9</w:t>
      </w:r>
      <w:r>
        <w:rPr>
          <w:color w:val="000000" w:themeColor="text1"/>
          <w:szCs w:val="28"/>
        </w:rPr>
        <w:t xml:space="preserve">7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тыс. рублей, в том числе: </w:t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2023 год – 15 928,61 тыс. рублей; </w:t>
      </w:r>
      <w:r>
        <w:rPr>
          <w:color w:val="000000"/>
          <w:szCs w:val="20"/>
        </w:rPr>
      </w:r>
      <w:r/>
    </w:p>
    <w:p>
      <w:pPr>
        <w:contextualSpacing/>
        <w:ind w:left="69" w:right="126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2024 год – 15 930,28 тыс. рублей; </w:t>
      </w:r>
      <w:r>
        <w:rPr>
          <w:color w:val="000000"/>
          <w:szCs w:val="20"/>
        </w:rPr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2025 год – 15 </w:t>
      </w:r>
      <w:r>
        <w:rPr>
          <w:color w:val="000000" w:themeColor="text1"/>
          <w:szCs w:val="20"/>
        </w:rPr>
        <w:t xml:space="preserve">932,</w:t>
      </w:r>
      <w:r>
        <w:rPr>
          <w:color w:val="000000" w:themeColor="text1"/>
          <w:szCs w:val="20"/>
        </w:rPr>
        <w:t xml:space="preserve">02 тыс. рублей; </w:t>
      </w:r>
      <w:r>
        <w:rPr>
          <w:color w:val="000000"/>
          <w:szCs w:val="20"/>
        </w:rPr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2026 год – 18 </w:t>
      </w:r>
      <w:r>
        <w:rPr>
          <w:color w:val="000000" w:themeColor="text1"/>
          <w:szCs w:val="20"/>
        </w:rPr>
        <w:t xml:space="preserve">932,</w:t>
      </w:r>
      <w:r>
        <w:rPr>
          <w:color w:val="000000" w:themeColor="text1"/>
          <w:szCs w:val="20"/>
        </w:rPr>
        <w:t xml:space="preserve">02 тыс. рублей; </w:t>
      </w:r>
      <w:r>
        <w:rPr>
          <w:color w:val="000000"/>
          <w:szCs w:val="20"/>
        </w:rPr>
      </w:r>
      <w:r/>
    </w:p>
    <w:p>
      <w:pPr>
        <w:ind w:left="69" w:right="126" w:firstLine="640"/>
        <w:jc w:val="both"/>
        <w:widowControl w:val="off"/>
        <w:rPr>
          <w:color w:val="000000"/>
        </w:rPr>
      </w:pPr>
      <w:r>
        <w:rPr>
          <w:color w:val="000000" w:themeColor="text1"/>
          <w:szCs w:val="20"/>
        </w:rPr>
        <w:t xml:space="preserve">2027 год – </w:t>
      </w:r>
      <w:r>
        <w:rPr>
          <w:color w:val="000000" w:themeColor="text1"/>
          <w:szCs w:val="20"/>
        </w:rPr>
        <w:t xml:space="preserve">18 </w:t>
      </w:r>
      <w:r>
        <w:rPr>
          <w:color w:val="000000" w:themeColor="text1"/>
          <w:szCs w:val="20"/>
        </w:rPr>
        <w:t xml:space="preserve">932,</w:t>
      </w:r>
      <w:r>
        <w:rPr>
          <w:color w:val="000000" w:themeColor="text1"/>
          <w:szCs w:val="20"/>
        </w:rPr>
        <w:t xml:space="preserve">02</w:t>
      </w:r>
      <w:r>
        <w:rPr>
          <w:color w:val="000000" w:themeColor="text1"/>
          <w:szCs w:val="20"/>
        </w:rPr>
        <w:t xml:space="preserve"> тыс. рублей; </w:t>
      </w:r>
      <w:r>
        <w:rPr>
          <w:color w:val="000000"/>
          <w:szCs w:val="20"/>
        </w:rPr>
      </w:r>
      <w:r/>
    </w:p>
    <w:p>
      <w:pPr>
        <w:contextualSpacing/>
        <w:ind w:left="69" w:right="-2" w:firstLine="640"/>
        <w:jc w:val="both"/>
        <w:tabs>
          <w:tab w:val="left" w:pos="993" w:leader="none"/>
        </w:tabs>
        <w:rPr>
          <w:color w:val="000000"/>
        </w:rPr>
      </w:pPr>
      <w:r>
        <w:rPr>
          <w:color w:val="000000" w:themeColor="text1"/>
          <w:szCs w:val="20"/>
        </w:rPr>
        <w:t xml:space="preserve">2028 год – </w:t>
      </w:r>
      <w:r>
        <w:rPr>
          <w:color w:val="000000" w:themeColor="text1"/>
          <w:szCs w:val="20"/>
        </w:rPr>
        <w:t xml:space="preserve">18 </w:t>
      </w:r>
      <w:r>
        <w:rPr>
          <w:color w:val="000000" w:themeColor="text1"/>
          <w:szCs w:val="20"/>
        </w:rPr>
        <w:t xml:space="preserve">931,</w:t>
      </w:r>
      <w:r>
        <w:rPr>
          <w:color w:val="000000" w:themeColor="text1"/>
          <w:szCs w:val="20"/>
        </w:rPr>
        <w:t xml:space="preserve">02</w:t>
      </w:r>
      <w:r>
        <w:rPr>
          <w:color w:val="000000" w:themeColor="text1"/>
          <w:szCs w:val="20"/>
        </w:rPr>
        <w:t xml:space="preserve"> тыс. рублей.</w:t>
      </w:r>
      <w:r>
        <w:rPr>
          <w:color w:val="000000"/>
          <w:szCs w:val="20"/>
        </w:rPr>
      </w:r>
      <w:r/>
    </w:p>
    <w:p>
      <w:pPr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Финансовыми ресурсами Программы являются средства бюджета города Ставрополя.</w:t>
      </w:r>
      <w:r/>
    </w:p>
    <w:p>
      <w:pPr>
        <w:ind w:firstLine="709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период.»;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  <w:highlight w:val="none"/>
        </w:rPr>
        <w:t xml:space="preserve">3)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приложение 1 «Перечень и общая характеристика мероприятий муниципальной программы «Молодежь города Ставрополя» к Программе изложить в новой редакции сог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ласно приложению.</w:t>
      </w:r>
      <w:r>
        <w:rPr>
          <w:szCs w:val="28"/>
        </w:rPr>
      </w:r>
      <w:r/>
    </w:p>
    <w:p>
      <w:pPr>
        <w:ind w:firstLine="709"/>
        <w:jc w:val="both"/>
        <w:widowControl w:val="off"/>
        <w:rPr>
          <w:szCs w:val="28"/>
          <w:highlight w:val="none"/>
        </w:rPr>
      </w:pPr>
      <w:r>
        <w:rPr>
          <w:szCs w:val="28"/>
        </w:rPr>
        <w:t xml:space="preserve">2. Настоящее постановление</w:t>
      </w:r>
      <w:r>
        <w:rPr>
          <w:szCs w:val="28"/>
        </w:rPr>
        <w:t xml:space="preserve"> вступает в силу со дня его подписания.</w:t>
      </w:r>
      <w:r/>
    </w:p>
    <w:p>
      <w:pPr>
        <w:jc w:val="both"/>
        <w:rPr>
          <w:szCs w:val="28"/>
        </w:rPr>
      </w:pPr>
      <w:r>
        <w:rPr>
          <w:szCs w:val="28"/>
        </w:rPr>
        <w:tab/>
        <w:t xml:space="preserve">3. Разместит</w:t>
      </w:r>
      <w:r>
        <w:rPr>
          <w:szCs w:val="28"/>
        </w:rPr>
        <w:t xml:space="preserve">ь настоящее постановление на официальном                            сайте администрации города Ставрополя в информационно-                                                                                                 телекоммуникационной сети «Интернет».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>
        <w:rPr>
          <w:szCs w:val="28"/>
        </w:rPr>
        <w:t xml:space="preserve">Диреганову</w:t>
      </w:r>
      <w:r>
        <w:rPr>
          <w:szCs w:val="28"/>
        </w:rPr>
        <w:t xml:space="preserve"> </w:t>
      </w:r>
      <w:r>
        <w:rPr>
          <w:szCs w:val="28"/>
        </w:rPr>
        <w:t xml:space="preserve">А</w:t>
      </w:r>
      <w:r>
        <w:rPr>
          <w:szCs w:val="28"/>
        </w:rPr>
        <w:t xml:space="preserve">.</w:t>
      </w:r>
      <w:r>
        <w:rPr>
          <w:szCs w:val="28"/>
        </w:rPr>
        <w:t xml:space="preserve">В</w:t>
      </w:r>
      <w:r>
        <w:rPr>
          <w:szCs w:val="28"/>
        </w:rPr>
        <w:t xml:space="preserve">.</w:t>
        <w:br/>
      </w:r>
      <w:r/>
    </w:p>
    <w:p>
      <w:pPr>
        <w:ind w:firstLine="0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right="-58"/>
        <w:spacing w:line="240" w:lineRule="exact"/>
        <w:widowControl w:val="off"/>
        <w:tabs>
          <w:tab w:val="left" w:pos="3402" w:leader="none"/>
          <w:tab w:val="left" w:pos="5400" w:leader="none"/>
        </w:tabs>
        <w:rPr>
          <w:sz w:val="34"/>
          <w:szCs w:val="34"/>
        </w:rPr>
      </w:pPr>
      <w:r>
        <w:rPr>
          <w:szCs w:val="28"/>
        </w:rPr>
        <w:t xml:space="preserve">Г</w:t>
      </w:r>
      <w:r>
        <w:rPr>
          <w:szCs w:val="28"/>
        </w:rPr>
        <w:t xml:space="preserve">лав</w:t>
      </w:r>
      <w:r>
        <w:rPr>
          <w:szCs w:val="28"/>
        </w:rPr>
        <w:t xml:space="preserve">а</w:t>
      </w:r>
      <w:r>
        <w:rPr>
          <w:szCs w:val="28"/>
        </w:rPr>
        <w:t xml:space="preserve"> города Ставрополя</w:t>
      </w:r>
      <w:r>
        <w:rPr>
          <w:szCs w:val="28"/>
        </w:rPr>
        <w:t xml:space="preserve">  </w:t>
      </w:r>
      <w:r>
        <w:rPr>
          <w:szCs w:val="28"/>
        </w:rPr>
        <w:t xml:space="preserve">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  </w:t>
      </w:r>
      <w:r>
        <w:rPr>
          <w:szCs w:val="28"/>
        </w:rPr>
        <w:t xml:space="preserve">И</w:t>
      </w:r>
      <w:r>
        <w:rPr>
          <w:szCs w:val="28"/>
        </w:rPr>
        <w:t xml:space="preserve">.</w:t>
      </w:r>
      <w:r>
        <w:rPr>
          <w:szCs w:val="28"/>
        </w:rPr>
        <w:t xml:space="preserve">И</w:t>
      </w:r>
      <w:r>
        <w:rPr>
          <w:szCs w:val="28"/>
        </w:rPr>
        <w:t xml:space="preserve">. </w:t>
      </w:r>
      <w:r>
        <w:rPr>
          <w:szCs w:val="28"/>
        </w:rPr>
        <w:t xml:space="preserve">Ульянченко</w:t>
      </w:r>
      <w:bookmarkEnd w:id="1"/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60666797"/>
      <w:docPartObj>
        <w:docPartGallery w:val="Page Numbers (Top of Page)"/>
        <w:docPartUnique w:val="true"/>
      </w:docPartObj>
      <w:rPr>
        <w:sz w:val="28"/>
        <w:szCs w:val="28"/>
      </w:rPr>
    </w:sdtPr>
    <w:sdtContent>
      <w:p>
        <w:pPr>
          <w:pStyle w:val="90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901"/>
      <w:jc w:val="center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5704610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  <w:p>
    <w:pPr>
      <w:pStyle w:val="90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5771570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  <w:rPr>
            <w:color w:val="FFFFFF"/>
          </w:rPr>
        </w:pPr>
        <w:r>
          <w:rPr>
            <w:color w:val="FFFFFF" w:themeColor="background1"/>
          </w:rPr>
          <w:fldChar w:fldCharType="begin"/>
        </w:r>
        <w:r>
          <w:rPr>
            <w:color w:val="FFFFFF" w:themeColor="background1"/>
          </w:rPr>
          <w:instrText xml:space="preserve">PAGE   \* MERGEFORMAT</w:instrText>
        </w:r>
        <w:r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 xml:space="preserve">2</w:t>
        </w:r>
        <w:r>
          <w:rPr>
            <w:color w:val="FFFFFF" w:themeColor="background1"/>
          </w:rPr>
          <w:fldChar w:fldCharType="end"/>
        </w:r>
        <w:r/>
      </w:p>
    </w:sdtContent>
  </w:sdt>
  <w:p>
    <w:pPr>
      <w:pStyle w:val="9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87"/>
    <w:next w:val="887"/>
    <w:link w:val="71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7">
    <w:name w:val="Heading 1 Char"/>
    <w:basedOn w:val="888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87"/>
    <w:next w:val="887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9">
    <w:name w:val="Heading 2 Char"/>
    <w:basedOn w:val="888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87"/>
    <w:next w:val="887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1">
    <w:name w:val="Heading 3 Char"/>
    <w:basedOn w:val="888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87"/>
    <w:next w:val="887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3">
    <w:name w:val="Heading 4 Char"/>
    <w:basedOn w:val="888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87"/>
    <w:next w:val="887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5">
    <w:name w:val="Heading 5 Char"/>
    <w:basedOn w:val="888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87"/>
    <w:next w:val="887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7">
    <w:name w:val="Heading 6 Char"/>
    <w:basedOn w:val="888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87"/>
    <w:next w:val="887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9">
    <w:name w:val="Heading 7 Char"/>
    <w:basedOn w:val="888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87"/>
    <w:next w:val="887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1">
    <w:name w:val="Heading 8 Char"/>
    <w:basedOn w:val="888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87"/>
    <w:next w:val="887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3">
    <w:name w:val="Heading 9 Char"/>
    <w:basedOn w:val="888"/>
    <w:link w:val="732"/>
    <w:uiPriority w:val="9"/>
    <w:rPr>
      <w:rFonts w:ascii="Arial" w:hAnsi="Arial" w:cs="Arial" w:eastAsia="Arial"/>
      <w:i/>
      <w:iCs/>
      <w:sz w:val="21"/>
      <w:szCs w:val="21"/>
    </w:rPr>
  </w:style>
  <w:style w:type="character" w:styleId="734">
    <w:name w:val="Title Char"/>
    <w:basedOn w:val="888"/>
    <w:link w:val="905"/>
    <w:uiPriority w:val="10"/>
    <w:rPr>
      <w:sz w:val="48"/>
      <w:szCs w:val="48"/>
    </w:rPr>
  </w:style>
  <w:style w:type="paragraph" w:styleId="735">
    <w:name w:val="Subtitle"/>
    <w:basedOn w:val="887"/>
    <w:next w:val="887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basedOn w:val="888"/>
    <w:link w:val="735"/>
    <w:uiPriority w:val="11"/>
    <w:rPr>
      <w:sz w:val="24"/>
      <w:szCs w:val="24"/>
    </w:rPr>
  </w:style>
  <w:style w:type="paragraph" w:styleId="737">
    <w:name w:val="Quote"/>
    <w:basedOn w:val="887"/>
    <w:next w:val="887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7"/>
    <w:next w:val="887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8"/>
    <w:link w:val="901"/>
    <w:uiPriority w:val="99"/>
  </w:style>
  <w:style w:type="character" w:styleId="742">
    <w:name w:val="Footer Char"/>
    <w:basedOn w:val="888"/>
    <w:link w:val="903"/>
    <w:uiPriority w:val="99"/>
  </w:style>
  <w:style w:type="paragraph" w:styleId="743">
    <w:name w:val="Caption"/>
    <w:basedOn w:val="887"/>
    <w:next w:val="8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4">
    <w:name w:val="Caption Char"/>
    <w:basedOn w:val="743"/>
    <w:link w:val="903"/>
    <w:uiPriority w:val="99"/>
  </w:style>
  <w:style w:type="table" w:styleId="745">
    <w:name w:val="Table Grid Light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1">
    <w:name w:val="Grid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3">
    <w:name w:val="Grid Table 4 - Accent 1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4">
    <w:name w:val="Grid Table 4 - Accent 2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5">
    <w:name w:val="Grid Table 4 - Accent 3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6">
    <w:name w:val="Grid Table 4 - Accent 4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7">
    <w:name w:val="Grid Table 4 - Accent 5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8">
    <w:name w:val="Grid Table 4 - Accent 6"/>
    <w:basedOn w:val="8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9">
    <w:name w:val="Grid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6">
    <w:name w:val="Grid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8">
    <w:name w:val="List Table 2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9">
    <w:name w:val="List Table 2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0">
    <w:name w:val="List Table 2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1">
    <w:name w:val="List Table 2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2">
    <w:name w:val="List Table 2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3">
    <w:name w:val="List Table 2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4">
    <w:name w:val="List Table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6">
    <w:name w:val="List Table 6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7">
    <w:name w:val="List Table 6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List Table 6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9">
    <w:name w:val="List Table 6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List Table 6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1">
    <w:name w:val="List Table 6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2">
    <w:name w:val="List Table 7 Colorful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4">
    <w:name w:val="List Table 7 Colorful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5">
    <w:name w:val="List Table 7 Colorful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6">
    <w:name w:val="List Table 7 Colorful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7">
    <w:name w:val="List Table 7 Colorful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8">
    <w:name w:val="List Table 7 Colorful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9">
    <w:name w:val="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 &amp; Lined - Accent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Bordered &amp; Lined - Accent 1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Bordered &amp; Lined - Accent 2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Bordered &amp; Lined - Accent 3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Bordered &amp; Lined - Accent 4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Bordered &amp; Lined - Accent 5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Bordered &amp; Lined - Accent 6"/>
    <w:basedOn w:val="88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4">
    <w:name w:val="Bordered - Accent 1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5">
    <w:name w:val="Bordered - Accent 2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6">
    <w:name w:val="Bordered - Accent 3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7">
    <w:name w:val="Bordered - Accent 4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8">
    <w:name w:val="Bordered - Accent 5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9">
    <w:name w:val="Bordered - Accent 6"/>
    <w:basedOn w:val="8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0">
    <w:name w:val="footnote text"/>
    <w:basedOn w:val="887"/>
    <w:link w:val="871"/>
    <w:uiPriority w:val="99"/>
    <w:semiHidden/>
    <w:unhideWhenUsed/>
    <w:pPr>
      <w:spacing w:after="40" w:line="240" w:lineRule="auto"/>
    </w:pPr>
    <w:rPr>
      <w:sz w:val="18"/>
    </w:r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basedOn w:val="888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888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qFormat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styleId="888" w:default="1">
    <w:name w:val="Default Paragraph Font"/>
    <w:uiPriority w:val="1"/>
    <w:semiHidden/>
    <w:unhideWhenUsed/>
  </w:style>
  <w:style w:type="table" w:styleId="8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0" w:default="1">
    <w:name w:val="No List"/>
    <w:uiPriority w:val="99"/>
    <w:semiHidden/>
    <w:unhideWhenUsed/>
  </w:style>
  <w:style w:type="paragraph" w:styleId="891">
    <w:name w:val="No Spacing"/>
    <w:uiPriority w:val="1"/>
    <w:qFormat/>
    <w:pPr>
      <w:spacing w:after="0" w:line="240" w:lineRule="auto"/>
    </w:pPr>
    <w:rPr>
      <w:rFonts w:ascii="Times New Roman" w:hAnsi="Times New Roman" w:cs="Calibri" w:eastAsia="Times New Roman"/>
      <w:sz w:val="24"/>
      <w:szCs w:val="24"/>
      <w:lang w:eastAsia="ar-SA"/>
    </w:rPr>
  </w:style>
  <w:style w:type="paragraph" w:styleId="892">
    <w:name w:val="List Paragraph"/>
    <w:basedOn w:val="887"/>
    <w:uiPriority w:val="34"/>
    <w:qFormat/>
    <w:pPr>
      <w:ind w:left="708"/>
    </w:pPr>
    <w:rPr>
      <w:rFonts w:cs="Times New Roman" w:eastAsia="Times New Roman"/>
    </w:rPr>
  </w:style>
  <w:style w:type="paragraph" w:styleId="893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94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5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paragraph" w:styleId="896" w:customStyle="1">
    <w:name w:val="ConsPlusCell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7" w:customStyle="1">
    <w:name w:val="ConsPlusDocLis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98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899" w:customStyle="1">
    <w:name w:val="ConsPlusJurTerm"/>
    <w:pPr>
      <w:spacing w:after="0" w:line="240" w:lineRule="auto"/>
      <w:widowControl w:val="off"/>
    </w:pPr>
    <w:rPr>
      <w:rFonts w:ascii="Tahoma" w:hAnsi="Tahoma" w:cs="Tahoma" w:eastAsia="Times New Roman"/>
      <w:sz w:val="26"/>
      <w:szCs w:val="20"/>
      <w:lang w:eastAsia="ru-RU"/>
    </w:rPr>
  </w:style>
  <w:style w:type="paragraph" w:styleId="900" w:customStyle="1">
    <w:name w:val="ConsPlusTextList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901">
    <w:name w:val="Header"/>
    <w:basedOn w:val="887"/>
    <w:link w:val="902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 w:eastAsia="Times New Roman"/>
      <w:sz w:val="24"/>
      <w:szCs w:val="24"/>
    </w:rPr>
  </w:style>
  <w:style w:type="character" w:styleId="902" w:customStyle="1">
    <w:name w:val="Верхний колонтитул Знак"/>
    <w:basedOn w:val="888"/>
    <w:link w:val="90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3">
    <w:name w:val="Footer"/>
    <w:basedOn w:val="887"/>
    <w:link w:val="90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basedOn w:val="888"/>
    <w:link w:val="903"/>
    <w:uiPriority w:val="99"/>
    <w:rPr>
      <w:rFonts w:ascii="Times New Roman" w:hAnsi="Times New Roman"/>
      <w:sz w:val="28"/>
      <w:szCs w:val="16"/>
      <w:lang w:eastAsia="ru-RU"/>
    </w:rPr>
  </w:style>
  <w:style w:type="paragraph" w:styleId="905">
    <w:name w:val="Title"/>
    <w:basedOn w:val="887"/>
    <w:link w:val="906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906" w:customStyle="1">
    <w:name w:val="Заголовок Знак"/>
    <w:basedOn w:val="888"/>
    <w:link w:val="905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907" w:customStyle="1">
    <w:name w:val="Текст выноски Знак"/>
    <w:basedOn w:val="888"/>
    <w:link w:val="908"/>
    <w:uiPriority w:val="99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08">
    <w:name w:val="Balloon Text"/>
    <w:basedOn w:val="887"/>
    <w:link w:val="907"/>
    <w:uiPriority w:val="99"/>
    <w:semiHidden/>
    <w:unhideWhenUsed/>
    <w:rPr>
      <w:rFonts w:ascii="Tahoma" w:hAnsi="Tahoma" w:cs="Times New Roman" w:eastAsia="Times New Roman"/>
      <w:sz w:val="16"/>
    </w:rPr>
  </w:style>
  <w:style w:type="character" w:styleId="909" w:customStyle="1">
    <w:name w:val="Font Style12"/>
    <w:rPr>
      <w:rFonts w:ascii="Times New Roman" w:hAnsi="Times New Roman" w:cs="Times New Roman"/>
      <w:sz w:val="26"/>
      <w:szCs w:val="26"/>
    </w:rPr>
  </w:style>
  <w:style w:type="paragraph" w:styleId="910" w:customStyle="1">
    <w:name w:val="Style2"/>
    <w:basedOn w:val="887"/>
    <w:pPr>
      <w:widowControl w:val="off"/>
    </w:pPr>
    <w:rPr>
      <w:rFonts w:cs="Times New Roman" w:eastAsia="Times New Roman"/>
      <w:sz w:val="24"/>
      <w:szCs w:val="24"/>
    </w:rPr>
  </w:style>
  <w:style w:type="character" w:styleId="911">
    <w:name w:val="line number"/>
    <w:basedOn w:val="888"/>
    <w:uiPriority w:val="99"/>
    <w:semiHidden/>
    <w:unhideWhenUsed/>
  </w:style>
  <w:style w:type="table" w:styleId="912">
    <w:name w:val="Table Grid"/>
    <w:basedOn w:val="889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13">
    <w:name w:val="Hyperlink"/>
    <w:basedOn w:val="888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6AAA0F3F92235522690E55EAC7B1A4B076683F4420087ADDF888DD03765D4EEF8378CD894DB4D2DB01C0FB4CiBSC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8E7E0D0-4D1F-4B67-B3C6-861A1B65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revision>18</cp:revision>
  <dcterms:created xsi:type="dcterms:W3CDTF">2021-12-23T15:30:00Z</dcterms:created>
  <dcterms:modified xsi:type="dcterms:W3CDTF">2023-01-18T13:56:05Z</dcterms:modified>
</cp:coreProperties>
</file>