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DC" w:rsidRPr="00705F21" w:rsidRDefault="00755DDC" w:rsidP="00705F21">
      <w:pPr>
        <w:jc w:val="center"/>
        <w:rPr>
          <w:color w:val="4C2100"/>
        </w:rPr>
      </w:pPr>
      <w:r w:rsidRPr="00705F21">
        <w:rPr>
          <w:b/>
          <w:bCs/>
          <w:color w:val="4C2100"/>
        </w:rPr>
        <w:t>Положение о резервном фонде ТСЖ «Галактика»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1. </w:t>
      </w:r>
      <w:r w:rsidRPr="00705F21">
        <w:rPr>
          <w:color w:val="4C2100"/>
        </w:rPr>
        <w:t>Настоящее Положение регулирует порядок создания и ликвидации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резервного фонда ТСЖ «Галактика» (далее – «фонд»), порядок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 xml:space="preserve">расходования средств фонда, а также порядок контроля </w:t>
      </w:r>
      <w:proofErr w:type="gramStart"/>
      <w:r w:rsidRPr="00705F21">
        <w:rPr>
          <w:color w:val="4C2100"/>
        </w:rPr>
        <w:t>над</w:t>
      </w:r>
      <w:proofErr w:type="gramEnd"/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расходованием средств фонда.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 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2. </w:t>
      </w:r>
      <w:r w:rsidRPr="00705F21">
        <w:rPr>
          <w:color w:val="4C2100"/>
        </w:rPr>
        <w:t xml:space="preserve">Цель создания фонда – образование финансовых резервов </w:t>
      </w:r>
      <w:proofErr w:type="gramStart"/>
      <w:r w:rsidRPr="00705F21">
        <w:rPr>
          <w:color w:val="4C2100"/>
        </w:rPr>
        <w:t>для</w:t>
      </w:r>
      <w:proofErr w:type="gramEnd"/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 xml:space="preserve">покрытия не </w:t>
      </w:r>
      <w:proofErr w:type="gramStart"/>
      <w:r w:rsidRPr="00705F21">
        <w:rPr>
          <w:color w:val="4C2100"/>
        </w:rPr>
        <w:t>предусмотренных</w:t>
      </w:r>
      <w:proofErr w:type="gramEnd"/>
      <w:r w:rsidRPr="00705F21">
        <w:rPr>
          <w:color w:val="4C2100"/>
        </w:rPr>
        <w:t xml:space="preserve"> на момент формирования бюджета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расходов.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3. </w:t>
      </w:r>
      <w:r w:rsidRPr="00705F21">
        <w:rPr>
          <w:color w:val="4C2100"/>
        </w:rPr>
        <w:t>Источниками формирования фонда являются: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3.1. </w:t>
      </w:r>
      <w:r w:rsidRPr="00705F21">
        <w:rPr>
          <w:color w:val="4C2100"/>
        </w:rPr>
        <w:t xml:space="preserve">Доходы, образовавшиеся в результате превышения </w:t>
      </w:r>
      <w:proofErr w:type="gramStart"/>
      <w:r w:rsidRPr="00705F21">
        <w:rPr>
          <w:color w:val="4C2100"/>
        </w:rPr>
        <w:t>доходных</w:t>
      </w:r>
      <w:proofErr w:type="gramEnd"/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статей сметы над соответствующими расходными статьями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(экономия).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3.2. </w:t>
      </w:r>
      <w:r w:rsidRPr="00705F21">
        <w:rPr>
          <w:color w:val="4C2100"/>
        </w:rPr>
        <w:t xml:space="preserve">Доходы от поступления обязательных целевых взносов </w:t>
      </w:r>
      <w:proofErr w:type="gramStart"/>
      <w:r w:rsidRPr="00705F21">
        <w:rPr>
          <w:color w:val="4C2100"/>
        </w:rPr>
        <w:t>на</w:t>
      </w:r>
      <w:proofErr w:type="gramEnd"/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формирование фонда в размере, установленном решением общего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собрания ТСЖ.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3.3. </w:t>
      </w:r>
      <w:r w:rsidRPr="00705F21">
        <w:rPr>
          <w:color w:val="4C2100"/>
        </w:rPr>
        <w:t>Суммы, полученные Товариществом в результате взыскания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штрафных санкций, в том числе в судебном порядке, в виде пени,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штрафов и иных платежей по резервному фонду.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3.4. </w:t>
      </w:r>
      <w:r w:rsidRPr="00705F21">
        <w:rPr>
          <w:color w:val="4C2100"/>
        </w:rPr>
        <w:t>Добровольные взносы собственников и иных лиц, желающих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оказать содействие реализации уставной деятельности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Товарищества.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3.5. </w:t>
      </w:r>
      <w:r w:rsidRPr="00705F21">
        <w:rPr>
          <w:color w:val="4C2100"/>
        </w:rPr>
        <w:t xml:space="preserve">Иные доходы, не предусмотренные сметой, полученные ТСЖ </w:t>
      </w:r>
      <w:proofErr w:type="gramStart"/>
      <w:r w:rsidRPr="00705F21">
        <w:rPr>
          <w:color w:val="4C2100"/>
        </w:rPr>
        <w:t>в</w:t>
      </w:r>
      <w:proofErr w:type="gramEnd"/>
    </w:p>
    <w:p w:rsidR="00755DDC" w:rsidRPr="00705F21" w:rsidRDefault="00755DDC" w:rsidP="00705F21">
      <w:pPr>
        <w:rPr>
          <w:color w:val="4C2100"/>
        </w:rPr>
      </w:pPr>
      <w:proofErr w:type="gramStart"/>
      <w:r w:rsidRPr="00705F21">
        <w:rPr>
          <w:color w:val="4C2100"/>
        </w:rPr>
        <w:t>соответствующем финансовом году (внеплановые доходы).</w:t>
      </w:r>
      <w:proofErr w:type="gramEnd"/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4. </w:t>
      </w:r>
      <w:r w:rsidRPr="00705F21">
        <w:rPr>
          <w:color w:val="4C2100"/>
        </w:rPr>
        <w:t>Расходование средств фонда предусмотрено: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4.1. </w:t>
      </w:r>
      <w:r w:rsidRPr="00705F21">
        <w:rPr>
          <w:color w:val="4C2100"/>
        </w:rPr>
        <w:t>На предотвращение и ликвидацию последствий чрезвычайных и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аварийных ситуаций.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4.3. </w:t>
      </w:r>
      <w:r w:rsidRPr="00705F21">
        <w:rPr>
          <w:color w:val="4C2100"/>
        </w:rPr>
        <w:t>На реализацию отдельных проектов Товарищества (например, на замену канализационных стояков), одобренных общим собранием ТСЖ и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не выходящих за пределы уставных целей Товарищества.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4.4. </w:t>
      </w:r>
      <w:r w:rsidRPr="00705F21">
        <w:rPr>
          <w:color w:val="4C2100"/>
        </w:rPr>
        <w:t>Покрытия убытков ТСЖ, вызванных неплатежами.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4.5. </w:t>
      </w:r>
      <w:r w:rsidRPr="00705F21">
        <w:rPr>
          <w:color w:val="4C2100"/>
        </w:rPr>
        <w:t>Иных непредвиденных расходов связанных с содержанием,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эксплуатацией и текущим ремонтом общего имущества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собственников помещений в доме.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5. </w:t>
      </w:r>
      <w:r w:rsidRPr="00705F21">
        <w:rPr>
          <w:color w:val="4C2100"/>
        </w:rPr>
        <w:t xml:space="preserve">Использование средств фонда на иные цели, </w:t>
      </w:r>
      <w:proofErr w:type="gramStart"/>
      <w:r w:rsidRPr="00705F21">
        <w:rPr>
          <w:color w:val="4C2100"/>
        </w:rPr>
        <w:t>кроме</w:t>
      </w:r>
      <w:proofErr w:type="gramEnd"/>
      <w:r w:rsidRPr="00705F21">
        <w:rPr>
          <w:color w:val="4C2100"/>
        </w:rPr>
        <w:t xml:space="preserve"> указанных в п.4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настоящего Положения не допускается.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6. </w:t>
      </w:r>
      <w:r w:rsidRPr="00705F21">
        <w:rPr>
          <w:color w:val="4C2100"/>
        </w:rPr>
        <w:t>Правление ТСЖ «Галактика», в рамках своей компетенции,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в случае необходимости использования средств резервного фонда инициирует проведение общего собрания.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В решении о расходовании средств фонда должно быть указано: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1) Цель расходования средств.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2) Общая необходимая сумма расходов.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3) Получатель средств.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7. </w:t>
      </w:r>
      <w:r w:rsidRPr="00705F21">
        <w:rPr>
          <w:color w:val="4C2100"/>
        </w:rPr>
        <w:t xml:space="preserve">Собственники не имеют права требовать передачи им </w:t>
      </w:r>
      <w:proofErr w:type="gramStart"/>
      <w:r w:rsidRPr="00705F21">
        <w:rPr>
          <w:color w:val="4C2100"/>
        </w:rPr>
        <w:t>денежных</w:t>
      </w:r>
      <w:proofErr w:type="gramEnd"/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средств из фонда.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8. </w:t>
      </w:r>
      <w:r w:rsidRPr="00705F21">
        <w:rPr>
          <w:color w:val="4C2100"/>
        </w:rPr>
        <w:t>Средства фонда расходуются по решению общего собрания ТСЖ.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9. </w:t>
      </w:r>
      <w:r w:rsidRPr="00705F21">
        <w:rPr>
          <w:color w:val="4C2100"/>
        </w:rPr>
        <w:t>Любой собственник по письменному запросу вправе получать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информацию о состоянии фонда и расходовании средств фонда.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Информацию размещать на досках объявлений 1 раз в квартал.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10. </w:t>
      </w:r>
      <w:r w:rsidRPr="00705F21">
        <w:rPr>
          <w:color w:val="4C2100"/>
        </w:rPr>
        <w:t xml:space="preserve">Денежные средства, накопляемые в фонде, хранятся </w:t>
      </w:r>
      <w:proofErr w:type="gramStart"/>
      <w:r w:rsidRPr="00705F21">
        <w:rPr>
          <w:color w:val="4C2100"/>
        </w:rPr>
        <w:t>на</w:t>
      </w:r>
      <w:proofErr w:type="gramEnd"/>
      <w:r w:rsidRPr="00705F21">
        <w:rPr>
          <w:color w:val="4C2100"/>
        </w:rPr>
        <w:t xml:space="preserve"> депозитном</w:t>
      </w:r>
    </w:p>
    <w:p w:rsidR="00755DDC" w:rsidRPr="00705F21" w:rsidRDefault="00755DDC" w:rsidP="00705F21">
      <w:pPr>
        <w:rPr>
          <w:color w:val="4C2100"/>
        </w:rPr>
      </w:pPr>
      <w:proofErr w:type="gramStart"/>
      <w:r w:rsidRPr="00705F21">
        <w:rPr>
          <w:color w:val="4C2100"/>
        </w:rPr>
        <w:t>счете</w:t>
      </w:r>
      <w:proofErr w:type="gramEnd"/>
      <w:r w:rsidRPr="00705F21">
        <w:rPr>
          <w:color w:val="4C2100"/>
        </w:rPr>
        <w:t xml:space="preserve"> ТСЖ в банке. Изменение способа хранения средств фонда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производится только по решению общего собрания ТСЖ.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lastRenderedPageBreak/>
        <w:t>11. </w:t>
      </w:r>
      <w:r w:rsidRPr="00705F21">
        <w:rPr>
          <w:color w:val="4C2100"/>
        </w:rPr>
        <w:t>Планируемый и фактически накопленный размер резервного фонда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ежегодно указываются в смете на соответствующий финансовый год.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12. </w:t>
      </w:r>
      <w:r w:rsidRPr="00705F21">
        <w:rPr>
          <w:color w:val="4C2100"/>
        </w:rPr>
        <w:t>Контроль над использованием средств фонда осуществляет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ревизионная комиссия ТСЖ, которая обязана ежегодно по итогам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финансового года проводить проверку использования средств фонда,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 xml:space="preserve">готовить заключение по результатам проверки и отчитывается </w:t>
      </w:r>
      <w:proofErr w:type="gramStart"/>
      <w:r w:rsidRPr="00705F21">
        <w:rPr>
          <w:color w:val="4C2100"/>
        </w:rPr>
        <w:t>перед</w:t>
      </w:r>
      <w:proofErr w:type="gramEnd"/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общим собранием ТСЖ.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13. </w:t>
      </w:r>
      <w:r w:rsidRPr="00705F21">
        <w:rPr>
          <w:color w:val="4C2100"/>
        </w:rPr>
        <w:t>Ликвидация фонда осуществляется только по решению общего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собрания ТСЖ, при этом должно быть определено направление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расходования денежных средств фонда.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b/>
          <w:bCs/>
          <w:color w:val="4C2100"/>
        </w:rPr>
        <w:t>14. </w:t>
      </w:r>
      <w:r w:rsidRPr="00705F21">
        <w:rPr>
          <w:color w:val="4C2100"/>
        </w:rPr>
        <w:t>Настоящее Положение может быть изменено только по решению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общего собрания ТСЖ.</w:t>
      </w:r>
    </w:p>
    <w:p w:rsidR="00755DDC" w:rsidRPr="00705F21" w:rsidRDefault="00755DDC" w:rsidP="00705F21">
      <w:pPr>
        <w:jc w:val="center"/>
        <w:rPr>
          <w:color w:val="4C2100"/>
        </w:rPr>
      </w:pPr>
      <w:r w:rsidRPr="00705F21">
        <w:rPr>
          <w:color w:val="4C2100"/>
        </w:rPr>
        <w:t> </w:t>
      </w:r>
    </w:p>
    <w:p w:rsidR="00755DDC" w:rsidRPr="00705F21" w:rsidRDefault="00755DDC" w:rsidP="00705F21">
      <w:pPr>
        <w:rPr>
          <w:color w:val="4C2100"/>
        </w:rPr>
      </w:pPr>
      <w:r w:rsidRPr="00705F21">
        <w:rPr>
          <w:color w:val="4C21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( Проект)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7"/>
        <w:gridCol w:w="9304"/>
      </w:tblGrid>
      <w:tr w:rsidR="00755DDC" w:rsidRPr="00705F21" w:rsidTr="00643602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DC" w:rsidRPr="00705F21" w:rsidRDefault="00755DDC" w:rsidP="00705F21">
            <w:pPr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 </w:t>
            </w:r>
          </w:p>
          <w:p w:rsidR="00755DDC" w:rsidRPr="00705F21" w:rsidRDefault="00755DDC" w:rsidP="00705F21">
            <w:pPr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 </w:t>
            </w:r>
          </w:p>
        </w:tc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DDC" w:rsidRPr="00705F21" w:rsidRDefault="00755DDC" w:rsidP="00705F21">
            <w:pPr>
              <w:jc w:val="center"/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УТВЕРЖДЕН</w:t>
            </w:r>
          </w:p>
          <w:p w:rsidR="00755DDC" w:rsidRPr="00705F21" w:rsidRDefault="00755DDC" w:rsidP="00705F21">
            <w:pPr>
              <w:jc w:val="center"/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Решением Общего собрания членов ТСЖ «Галактика»</w:t>
            </w:r>
          </w:p>
          <w:p w:rsidR="00755DDC" w:rsidRPr="00705F21" w:rsidRDefault="00755DDC" w:rsidP="00705F21">
            <w:pPr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(протокол № ___ от  ____20___г.)</w:t>
            </w:r>
          </w:p>
          <w:p w:rsidR="00755DDC" w:rsidRPr="00705F21" w:rsidRDefault="00755DDC" w:rsidP="00705F21">
            <w:pPr>
              <w:jc w:val="right"/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 </w:t>
            </w:r>
          </w:p>
          <w:p w:rsidR="00755DDC" w:rsidRPr="00705F21" w:rsidRDefault="00755DDC" w:rsidP="00705F21">
            <w:pPr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Председатель правления  </w:t>
            </w:r>
          </w:p>
          <w:p w:rsidR="00755DDC" w:rsidRPr="00705F21" w:rsidRDefault="00755DDC" w:rsidP="00705F21">
            <w:pPr>
              <w:ind w:left="726"/>
              <w:jc w:val="right"/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                                                                                                              ______________  /                       /</w:t>
            </w:r>
          </w:p>
          <w:p w:rsidR="00755DDC" w:rsidRPr="00705F21" w:rsidRDefault="00755DDC" w:rsidP="00705F21">
            <w:pPr>
              <w:ind w:left="726"/>
              <w:jc w:val="right"/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 </w:t>
            </w:r>
          </w:p>
          <w:p w:rsidR="00755DDC" w:rsidRPr="00705F21" w:rsidRDefault="00755DDC" w:rsidP="00705F21">
            <w:pPr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Секретарь собрания  </w:t>
            </w:r>
          </w:p>
          <w:p w:rsidR="00755DDC" w:rsidRPr="00705F21" w:rsidRDefault="00755DDC" w:rsidP="00705F21">
            <w:pPr>
              <w:ind w:left="726"/>
              <w:jc w:val="right"/>
              <w:rPr>
                <w:color w:val="4C2100"/>
              </w:rPr>
            </w:pPr>
            <w:r w:rsidRPr="00705F21">
              <w:rPr>
                <w:b/>
                <w:bCs/>
                <w:color w:val="4C2100"/>
              </w:rPr>
              <w:t>                                                                                                                  ______________ /                        /   </w:t>
            </w:r>
          </w:p>
          <w:p w:rsidR="00755DDC" w:rsidRPr="00705F21" w:rsidRDefault="00755DDC" w:rsidP="00705F21">
            <w:pPr>
              <w:jc w:val="both"/>
              <w:rPr>
                <w:color w:val="4C2100"/>
              </w:rPr>
            </w:pPr>
            <w:r w:rsidRPr="00705F21">
              <w:rPr>
                <w:color w:val="4C2100"/>
              </w:rPr>
              <w:t> </w:t>
            </w:r>
          </w:p>
          <w:p w:rsidR="00755DDC" w:rsidRPr="00705F21" w:rsidRDefault="00755DDC" w:rsidP="00705F21">
            <w:pPr>
              <w:ind w:left="842"/>
              <w:jc w:val="both"/>
              <w:rPr>
                <w:color w:val="4C2100"/>
              </w:rPr>
            </w:pPr>
            <w:r w:rsidRPr="00705F21">
              <w:rPr>
                <w:color w:val="4C2100"/>
              </w:rPr>
              <w:t> </w:t>
            </w:r>
          </w:p>
        </w:tc>
      </w:tr>
    </w:tbl>
    <w:p w:rsidR="00755DDC" w:rsidRPr="00705F21" w:rsidRDefault="00755DDC" w:rsidP="00705F21">
      <w:pPr>
        <w:jc w:val="center"/>
        <w:rPr>
          <w:color w:val="4C2100"/>
        </w:rPr>
      </w:pPr>
      <w:r w:rsidRPr="00705F21">
        <w:rPr>
          <w:b/>
          <w:bCs/>
          <w:color w:val="4C2100"/>
        </w:rPr>
        <w:t> </w:t>
      </w:r>
    </w:p>
    <w:p w:rsidR="00755DDC" w:rsidRPr="00705F21" w:rsidRDefault="00755DDC" w:rsidP="00705F21">
      <w:pPr>
        <w:jc w:val="center"/>
        <w:rPr>
          <w:color w:val="4C2100"/>
        </w:rPr>
      </w:pPr>
      <w:r w:rsidRPr="00705F21">
        <w:rPr>
          <w:b/>
          <w:bCs/>
          <w:color w:val="4C2100"/>
        </w:rPr>
        <w:t> </w:t>
      </w:r>
    </w:p>
    <w:p w:rsidR="007D7F01" w:rsidRPr="00705F21" w:rsidRDefault="007D7F01" w:rsidP="00705F21"/>
    <w:sectPr w:rsidR="007D7F01" w:rsidRPr="00705F21" w:rsidSect="007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DC"/>
    <w:rsid w:val="001D50F8"/>
    <w:rsid w:val="002E535A"/>
    <w:rsid w:val="00705F21"/>
    <w:rsid w:val="00755DDC"/>
    <w:rsid w:val="007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>Администрация города Ставрополя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ov.umnova</dc:creator>
  <cp:lastModifiedBy>ov.umnova</cp:lastModifiedBy>
  <cp:revision>2</cp:revision>
  <dcterms:created xsi:type="dcterms:W3CDTF">2014-03-04T06:57:00Z</dcterms:created>
  <dcterms:modified xsi:type="dcterms:W3CDTF">2014-03-04T06:58:00Z</dcterms:modified>
</cp:coreProperties>
</file>