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E35" w:rsidRDefault="00FA1E35" w:rsidP="00FA1E35">
      <w:pPr>
        <w:ind w:firstLine="0"/>
        <w:jc w:val="right"/>
        <w:rPr>
          <w:rFonts w:ascii="Times New Roman" w:hAnsi="Times New Roman"/>
          <w:b/>
          <w:sz w:val="28"/>
          <w:szCs w:val="28"/>
        </w:rPr>
      </w:pP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8"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9"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0"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1"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(поступающим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 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был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за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и иных организаций, созданных на основании 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5"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6"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лист справки.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допускается наличие подписи и пометок на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неработающий,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который может быть получен</w:t>
      </w:r>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Об обязательном социальном страховании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r w:rsidR="0096761C"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на банковский счет 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xml:space="preserve">) перечислены денежные средства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r w:rsidRPr="006F589C">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6F589C" w:rsidRDefault="00096ED3" w:rsidP="002E3630">
      <w:pPr>
        <w:pStyle w:val="aa"/>
        <w:numPr>
          <w:ilvl w:val="0"/>
          <w:numId w:val="2"/>
        </w:numPr>
        <w:tabs>
          <w:tab w:val="left" w:pos="1276"/>
        </w:tabs>
        <w:ind w:left="0" w:firstLine="567"/>
        <w:rPr>
          <w:sz w:val="28"/>
          <w:szCs w:val="28"/>
        </w:rPr>
      </w:pPr>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в связи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договоре)</w:t>
      </w:r>
      <w:r w:rsidR="005555C6" w:rsidRPr="006F589C">
        <w:rPr>
          <w:rFonts w:ascii="Times New Roman" w:hAnsi="Times New Roman"/>
          <w:sz w:val="28"/>
          <w:szCs w:val="28"/>
        </w:rPr>
        <w:t xml:space="preserve"> 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 Во всех остальных случаях учитывается только доход 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r w:rsidR="009B7266" w:rsidRPr="006F589C">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2) приобретение недвижимого имущества посредством участия в кооперативе.</w:t>
      </w:r>
      <w:r w:rsidRPr="006F589C">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членов Совета директоров Центрального банка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8"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19"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1"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2"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3"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В случае,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обязательств владельца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Яндекс.Деньги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4"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6F589C">
        <w:rPr>
          <w:rFonts w:ascii="Times New Roman" w:hAnsi="Times New Roman"/>
          <w:sz w:val="28"/>
          <w:szCs w:val="28"/>
        </w:rPr>
        <w:t>я</w:t>
      </w:r>
      <w:r w:rsidRPr="006F589C">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5"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занимаемых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занимаемых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r w:rsidR="005555C6" w:rsidRPr="006F589C">
        <w:rPr>
          <w:rFonts w:ascii="Times New Roman" w:hAnsi="Times New Roman"/>
          <w:sz w:val="28"/>
          <w:szCs w:val="28"/>
        </w:rPr>
        <w:t xml:space="preserve">принадлежащих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переданных объектах</w:t>
      </w:r>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взял</w:t>
      </w:r>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заключил</w:t>
      </w:r>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Сумма обязательства / размер обязательства по состоянию 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Об организации страхового дела в Российской 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 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8"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xml:space="preserve">, выпущенными в информационных системах,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40" w:rsidRDefault="00B72440" w:rsidP="00204BB5">
      <w:r>
        <w:separator/>
      </w:r>
    </w:p>
  </w:endnote>
  <w:endnote w:type="continuationSeparator" w:id="0">
    <w:p w:rsidR="00B72440" w:rsidRDefault="00B72440"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40" w:rsidRDefault="00B72440" w:rsidP="00204BB5">
      <w:r>
        <w:separator/>
      </w:r>
    </w:p>
  </w:footnote>
  <w:footnote w:type="continuationSeparator" w:id="0">
    <w:p w:rsidR="00B72440" w:rsidRDefault="00B72440"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707CF9">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48089F">
      <w:rPr>
        <w:rFonts w:ascii="Times New Roman" w:hAnsi="Times New Roman"/>
        <w:noProof/>
        <w:sz w:val="28"/>
        <w:szCs w:val="28"/>
      </w:rPr>
      <w:t>4</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089F"/>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CF9"/>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2440"/>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cbr.ru/hd_base/metall/metall_base_new/"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currency_base/daily/"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cbr.ru/banking_sector/likvidbase/" TargetMode="Externa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nalog.ru/rn77/related_activities/accounting/bank_account/" TargetMode="External"/><Relationship Id="rId28" Type="http://schemas.openxmlformats.org/officeDocument/2006/relationships/hyperlink" Target="http://www.cbr.ru/finm_infrastructure/oper/"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currency_base/"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EB732A-9FCC-47A7-998F-ECB8B7DFD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21246</Words>
  <Characters>121107</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142069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yug.ovcharenko</cp:lastModifiedBy>
  <cp:revision>2</cp:revision>
  <cp:lastPrinted>2020-12-24T15:48:00Z</cp:lastPrinted>
  <dcterms:created xsi:type="dcterms:W3CDTF">2020-12-30T06:06:00Z</dcterms:created>
  <dcterms:modified xsi:type="dcterms:W3CDTF">2020-12-30T06:06:00Z</dcterms:modified>
</cp:coreProperties>
</file>