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48" w:leftChars="0" w:firstLine="708" w:firstLineChars="0"/>
        <w:rPr>
          <w:sz w:val="28"/>
        </w:rPr>
      </w:pPr>
      <w:r>
        <w:rPr>
          <w:sz w:val="28"/>
        </w:rPr>
        <w:t>Приложение 2</w:t>
      </w:r>
    </w:p>
    <w:p>
      <w:pPr>
        <w:ind w:left="4962" w:firstLine="0"/>
        <w:jc w:val="center"/>
        <w:rPr>
          <w:sz w:val="28"/>
        </w:rPr>
      </w:pPr>
      <w:r>
        <w:rPr>
          <w:sz w:val="28"/>
        </w:rPr>
        <w:t xml:space="preserve"> </w:t>
      </w:r>
    </w:p>
    <w:p>
      <w:pPr>
        <w:spacing w:line="240" w:lineRule="exact"/>
        <w:ind w:left="4962" w:firstLine="0"/>
        <w:rPr>
          <w:sz w:val="28"/>
        </w:rPr>
      </w:pPr>
      <w:r>
        <w:rPr>
          <w:sz w:val="28"/>
        </w:rPr>
        <w:t>к приказу руководителя комитета</w:t>
      </w:r>
    </w:p>
    <w:p>
      <w:pPr>
        <w:spacing w:line="240" w:lineRule="exact"/>
        <w:ind w:left="4962" w:firstLine="0"/>
        <w:rPr>
          <w:sz w:val="28"/>
        </w:rPr>
      </w:pPr>
      <w:r>
        <w:rPr>
          <w:sz w:val="28"/>
        </w:rPr>
        <w:t xml:space="preserve">по делам гражданской обороны </w:t>
      </w:r>
    </w:p>
    <w:p>
      <w:pPr>
        <w:spacing w:line="240" w:lineRule="exact"/>
        <w:ind w:left="4962" w:firstLine="0"/>
        <w:rPr>
          <w:sz w:val="28"/>
        </w:rPr>
      </w:pPr>
      <w:r>
        <w:rPr>
          <w:sz w:val="28"/>
        </w:rPr>
        <w:t>и чрезвычайным ситуациям</w:t>
      </w:r>
    </w:p>
    <w:p>
      <w:pPr>
        <w:spacing w:line="240" w:lineRule="exact"/>
        <w:ind w:left="4962" w:firstLine="0"/>
        <w:rPr>
          <w:sz w:val="28"/>
        </w:rPr>
      </w:pPr>
      <w:r>
        <w:rPr>
          <w:sz w:val="28"/>
        </w:rPr>
        <w:t>администрации города Ставрополя</w:t>
      </w:r>
    </w:p>
    <w:p>
      <w:pPr>
        <w:spacing w:line="240" w:lineRule="exact"/>
        <w:ind w:left="4962" w:firstLine="0"/>
        <w:rPr>
          <w:sz w:val="28"/>
        </w:rPr>
      </w:pPr>
      <w:r>
        <w:rPr>
          <w:sz w:val="28"/>
        </w:rPr>
        <w:t xml:space="preserve">от         .         .              № </w:t>
      </w:r>
    </w:p>
    <w:p>
      <w:pPr>
        <w:rPr>
          <w:sz w:val="28"/>
        </w:rPr>
      </w:pPr>
    </w:p>
    <w:p>
      <w:pPr>
        <w:spacing w:line="240" w:lineRule="exact"/>
        <w:rPr>
          <w:sz w:val="28"/>
        </w:rPr>
      </w:pPr>
    </w:p>
    <w:p>
      <w:pPr>
        <w:spacing w:line="240" w:lineRule="exact"/>
        <w:jc w:val="center"/>
        <w:rPr>
          <w:sz w:val="28"/>
        </w:rPr>
      </w:pPr>
      <w:r>
        <w:rPr>
          <w:sz w:val="28"/>
        </w:rPr>
        <w:t>ПРАВИЛА</w:t>
      </w:r>
    </w:p>
    <w:p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работы с обезличенными персональными данными комитета по делам гражданской обороны и чрезвычайным ситуациям </w:t>
      </w:r>
    </w:p>
    <w:p>
      <w:pPr>
        <w:spacing w:line="240" w:lineRule="exact"/>
        <w:jc w:val="center"/>
        <w:rPr>
          <w:sz w:val="28"/>
        </w:rPr>
      </w:pPr>
      <w:r>
        <w:rPr>
          <w:sz w:val="28"/>
        </w:rPr>
        <w:t>администрации города Ставрополя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1. Общие положения</w:t>
      </w:r>
    </w:p>
    <w:p>
      <w:pPr>
        <w:jc w:val="center"/>
        <w:rPr>
          <w:sz w:val="28"/>
        </w:rPr>
      </w:pPr>
    </w:p>
    <w:p>
      <w:pPr>
        <w:ind w:left="0" w:firstLine="709"/>
        <w:jc w:val="both"/>
        <w:rPr>
          <w:sz w:val="28"/>
        </w:rPr>
      </w:pPr>
      <w:r>
        <w:rPr>
          <w:sz w:val="28"/>
        </w:rPr>
        <w:t>1.1. Настоящие Правила работы с обезличенными персональными данными комитета по делам гражданской обороны и чрезвычайным ситуациям администрации города Ставрополя (далее - Правила) разработаны в соответствии с Федеральным Законом от 27 июля 2006 года № 152-ФЗ</w:t>
      </w:r>
      <w:r>
        <w:rPr>
          <w:sz w:val="28"/>
        </w:rPr>
        <w:br w:type="textWrapping"/>
      </w:r>
      <w:r>
        <w:rPr>
          <w:sz w:val="28"/>
        </w:rPr>
        <w:t>«О персональных данных» и постановлением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>1.2. Настоящие Правила определяют порядок работы с обезличенными  персональными данными комитета по делам гражданской обороны и чрезвычайным ситуациям администрации города Ставрополя (далее – Комитет).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>1.3. Настоящие Правила утверждаются руководителем комитета по делам гражданской обороны и чрезвычайным ситуациям администрации города Ставрополя (далее – руководитель комитета) и действуют постоянно.</w:t>
      </w:r>
    </w:p>
    <w:p>
      <w:pPr>
        <w:jc w:val="both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2. Термины и определения</w:t>
      </w:r>
    </w:p>
    <w:p>
      <w:pPr>
        <w:rPr>
          <w:b/>
          <w:sz w:val="28"/>
        </w:rPr>
      </w:pPr>
    </w:p>
    <w:p>
      <w:pPr>
        <w:ind w:left="0" w:firstLine="709"/>
        <w:jc w:val="both"/>
        <w:rPr>
          <w:sz w:val="28"/>
        </w:rPr>
      </w:pPr>
      <w:r>
        <w:rPr>
          <w:sz w:val="28"/>
        </w:rPr>
        <w:t>2.1. В соответствии с Федеральным законом от 27 июля 2006 года</w:t>
      </w:r>
      <w:r>
        <w:rPr>
          <w:sz w:val="28"/>
        </w:rPr>
        <w:br w:type="textWrapping"/>
      </w:r>
      <w:r>
        <w:rPr>
          <w:sz w:val="28"/>
        </w:rPr>
        <w:t>№ 152-ФЗ «О персональных данных»:</w:t>
      </w:r>
    </w:p>
    <w:p>
      <w:pPr>
        <w:ind w:left="0" w:firstLine="709"/>
        <w:jc w:val="both"/>
        <w:rPr>
          <w:rStyle w:val="12"/>
          <w:b w:val="0"/>
        </w:rPr>
      </w:pPr>
      <w:r>
        <w:rPr>
          <w:rStyle w:val="12"/>
          <w:b w:val="0"/>
          <w:sz w:val="28"/>
        </w:rPr>
        <w:t xml:space="preserve">персональные данные – </w:t>
      </w:r>
      <w:r>
        <w:rPr>
          <w:sz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>
      <w:pPr>
        <w:ind w:left="0" w:firstLine="709"/>
        <w:jc w:val="both"/>
        <w:rPr>
          <w:i/>
        </w:rPr>
      </w:pPr>
      <w:r>
        <w:rPr>
          <w:sz w:val="28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>
      <w:pPr>
        <w:ind w:left="0" w:firstLine="709"/>
        <w:jc w:val="both"/>
        <w:rPr>
          <w:rStyle w:val="9"/>
          <w:i w:val="0"/>
          <w:sz w:val="28"/>
        </w:rPr>
      </w:pPr>
      <w:r>
        <w:rPr>
          <w:rStyle w:val="12"/>
          <w:b w:val="0"/>
          <w:sz w:val="28"/>
        </w:rPr>
        <w:t>обезличивание персональных данных</w:t>
      </w:r>
      <w:r>
        <w:rPr>
          <w:rStyle w:val="9"/>
          <w:i w:val="0"/>
          <w:sz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>
      <w:pPr>
        <w:ind w:left="0" w:firstLine="709"/>
        <w:jc w:val="both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 xml:space="preserve">3. Условия обезличивания </w:t>
      </w:r>
    </w:p>
    <w:p>
      <w:pPr>
        <w:jc w:val="center"/>
        <w:rPr>
          <w:sz w:val="28"/>
        </w:rPr>
      </w:pPr>
    </w:p>
    <w:p>
      <w:pPr>
        <w:ind w:left="0" w:firstLine="709"/>
        <w:jc w:val="both"/>
        <w:rPr>
          <w:sz w:val="28"/>
        </w:rPr>
      </w:pPr>
      <w:r>
        <w:rPr>
          <w:sz w:val="28"/>
        </w:rPr>
        <w:t>3.1. 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Комитета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>3.2. Способы обезличивания при условии дальнейшей обработки персональных данных: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 xml:space="preserve">уменьшение перечня обрабатываемых сведений; </w:t>
      </w:r>
    </w:p>
    <w:p>
      <w:pPr>
        <w:tabs>
          <w:tab w:val="left" w:pos="1095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замена части сведений идентификаторами; </w:t>
      </w:r>
    </w:p>
    <w:p>
      <w:pPr>
        <w:tabs>
          <w:tab w:val="left" w:pos="1095"/>
        </w:tabs>
        <w:ind w:left="0" w:firstLine="709"/>
        <w:jc w:val="both"/>
        <w:rPr>
          <w:sz w:val="28"/>
        </w:rPr>
      </w:pPr>
      <w:r>
        <w:rPr>
          <w:sz w:val="28"/>
        </w:rPr>
        <w:t>обобщение – понижение точности некоторых сведений;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 xml:space="preserve">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город); 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>деление сведений на части и обработка в разных информационных системах;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>другие способы.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>3.3. 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>3.4. Для обезличивания персональных данных годятся любые способы явно не запрещенные законодательством.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>3.5. Перечень должностей муниципальных служащих  Комитета, ответственных за проведение мероприятий по обезличиванию обрабатываемых персональных данных, приведен в Приложении  к настоящим Правилам: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>руководитель комитета принимает решение о необходимости обезличивания персональных данных;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>руководители отделов,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обезличивания;</w:t>
      </w:r>
    </w:p>
    <w:p>
      <w:pPr>
        <w:ind w:left="0" w:firstLine="709"/>
        <w:jc w:val="both"/>
        <w:rPr>
          <w:sz w:val="28"/>
        </w:rPr>
      </w:pPr>
      <w:r>
        <w:rPr>
          <w:sz w:val="28"/>
        </w:rPr>
        <w:t>специалисты отделов, обслуживающих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>
      <w:pPr>
        <w:jc w:val="center"/>
        <w:rPr>
          <w:rStyle w:val="12"/>
          <w:b w:val="0"/>
          <w:sz w:val="28"/>
        </w:rPr>
      </w:pPr>
      <w:r>
        <w:rPr>
          <w:rStyle w:val="12"/>
          <w:b w:val="0"/>
          <w:sz w:val="28"/>
        </w:rPr>
        <w:t>4. Порядок работы с обезличенными персональными данными</w:t>
      </w:r>
    </w:p>
    <w:p>
      <w:pPr>
        <w:jc w:val="center"/>
        <w:rPr>
          <w:rStyle w:val="12"/>
          <w:b w:val="0"/>
        </w:rPr>
      </w:pPr>
    </w:p>
    <w:p>
      <w:pPr>
        <w:ind w:left="0" w:firstLine="709"/>
        <w:jc w:val="both"/>
        <w:rPr>
          <w:rStyle w:val="12"/>
          <w:b w:val="0"/>
          <w:sz w:val="28"/>
        </w:rPr>
      </w:pPr>
      <w:r>
        <w:rPr>
          <w:rStyle w:val="12"/>
          <w:b w:val="0"/>
          <w:sz w:val="28"/>
        </w:rPr>
        <w:t>4.1. Обезличенные персональные данные не подлежат разглашению и нарушению конфиденциальности.</w:t>
      </w:r>
    </w:p>
    <w:p>
      <w:pPr>
        <w:ind w:left="0" w:firstLine="709"/>
        <w:jc w:val="both"/>
        <w:rPr>
          <w:rStyle w:val="12"/>
          <w:b w:val="0"/>
          <w:sz w:val="28"/>
        </w:rPr>
      </w:pPr>
      <w:r>
        <w:rPr>
          <w:rStyle w:val="12"/>
          <w:b w:val="0"/>
          <w:sz w:val="28"/>
        </w:rPr>
        <w:t>4.2. Обезличенные персональные данные могут обрабатываться с использования и без использования средств автоматизации.</w:t>
      </w:r>
    </w:p>
    <w:p>
      <w:pPr>
        <w:ind w:left="0" w:firstLine="703"/>
        <w:jc w:val="both"/>
        <w:rPr>
          <w:rStyle w:val="12"/>
          <w:b w:val="0"/>
          <w:sz w:val="28"/>
        </w:rPr>
      </w:pPr>
      <w:r>
        <w:rPr>
          <w:rStyle w:val="12"/>
          <w:b w:val="0"/>
          <w:sz w:val="28"/>
        </w:rPr>
        <w:t>4.3. При обработке обезличенных персональных данных с использованием средств автоматизации необходимо соблюдение:</w:t>
      </w:r>
    </w:p>
    <w:p>
      <w:pPr>
        <w:ind w:left="0" w:firstLine="709"/>
        <w:jc w:val="both"/>
        <w:rPr>
          <w:rStyle w:val="12"/>
          <w:b w:val="0"/>
          <w:sz w:val="28"/>
        </w:rPr>
      </w:pPr>
      <w:r>
        <w:rPr>
          <w:rStyle w:val="12"/>
          <w:b w:val="0"/>
          <w:sz w:val="28"/>
        </w:rPr>
        <w:t>парольной политики;</w:t>
      </w:r>
    </w:p>
    <w:p>
      <w:pPr>
        <w:tabs>
          <w:tab w:val="left" w:pos="1095"/>
        </w:tabs>
        <w:ind w:left="0" w:firstLine="709"/>
        <w:jc w:val="both"/>
        <w:rPr>
          <w:rStyle w:val="12"/>
          <w:b w:val="0"/>
          <w:sz w:val="28"/>
        </w:rPr>
      </w:pPr>
      <w:r>
        <w:rPr>
          <w:rStyle w:val="12"/>
          <w:b w:val="0"/>
          <w:sz w:val="28"/>
        </w:rPr>
        <w:t xml:space="preserve">антивирусной политики; </w:t>
      </w:r>
    </w:p>
    <w:p>
      <w:pPr>
        <w:tabs>
          <w:tab w:val="left" w:pos="1095"/>
        </w:tabs>
        <w:ind w:left="0" w:firstLine="709"/>
        <w:jc w:val="both"/>
        <w:rPr>
          <w:rStyle w:val="12"/>
          <w:b w:val="0"/>
          <w:sz w:val="28"/>
        </w:rPr>
      </w:pPr>
      <w:r>
        <w:rPr>
          <w:rStyle w:val="12"/>
          <w:b w:val="0"/>
          <w:sz w:val="28"/>
        </w:rPr>
        <w:t xml:space="preserve">правил работы со съемными носителями (если они используется); </w:t>
      </w:r>
    </w:p>
    <w:p>
      <w:pPr>
        <w:ind w:left="0" w:firstLine="709"/>
        <w:jc w:val="both"/>
        <w:rPr>
          <w:rStyle w:val="12"/>
          <w:b w:val="0"/>
          <w:sz w:val="28"/>
        </w:rPr>
      </w:pPr>
      <w:r>
        <w:rPr>
          <w:rStyle w:val="12"/>
          <w:b w:val="0"/>
          <w:sz w:val="28"/>
        </w:rPr>
        <w:t xml:space="preserve">правил резервного копирования; </w:t>
      </w:r>
    </w:p>
    <w:p>
      <w:pPr>
        <w:tabs>
          <w:tab w:val="left" w:pos="1095"/>
        </w:tabs>
        <w:ind w:left="0" w:firstLine="709"/>
        <w:jc w:val="both"/>
        <w:rPr>
          <w:rStyle w:val="12"/>
          <w:b w:val="0"/>
          <w:sz w:val="28"/>
        </w:rPr>
      </w:pPr>
      <w:r>
        <w:rPr>
          <w:rStyle w:val="12"/>
          <w:b w:val="0"/>
          <w:sz w:val="28"/>
        </w:rPr>
        <w:t>правил доступа в помещения, где расположены элементы информационных систем.</w:t>
      </w:r>
    </w:p>
    <w:p>
      <w:pPr>
        <w:ind w:left="0" w:firstLine="709"/>
        <w:jc w:val="both"/>
        <w:rPr>
          <w:rStyle w:val="12"/>
          <w:b w:val="0"/>
          <w:sz w:val="28"/>
        </w:rPr>
      </w:pPr>
      <w:r>
        <w:rPr>
          <w:rStyle w:val="12"/>
          <w:b w:val="0"/>
          <w:sz w:val="28"/>
        </w:rPr>
        <w:t xml:space="preserve">4.4. При обработке обезличенных персональных данных без использования средств автоматизации необходимо соблюдение: </w:t>
      </w:r>
    </w:p>
    <w:p>
      <w:pPr>
        <w:ind w:left="0" w:firstLine="709"/>
        <w:jc w:val="both"/>
        <w:rPr>
          <w:rStyle w:val="12"/>
          <w:b w:val="0"/>
          <w:sz w:val="28"/>
        </w:rPr>
      </w:pPr>
      <w:r>
        <w:rPr>
          <w:rStyle w:val="12"/>
          <w:b w:val="0"/>
          <w:sz w:val="28"/>
        </w:rPr>
        <w:t xml:space="preserve">правил хранения бумажных носителей; </w:t>
      </w:r>
    </w:p>
    <w:p>
      <w:pPr>
        <w:ind w:left="0" w:firstLine="709"/>
        <w:jc w:val="both"/>
        <w:rPr>
          <w:rStyle w:val="12"/>
          <w:b w:val="0"/>
          <w:sz w:val="28"/>
        </w:rPr>
      </w:pPr>
      <w:r>
        <w:rPr>
          <w:rStyle w:val="12"/>
          <w:b w:val="0"/>
          <w:sz w:val="28"/>
        </w:rPr>
        <w:t>правил доступа к ним и в помещения, где они хранятся.</w:t>
      </w:r>
    </w:p>
    <w:p>
      <w:pPr>
        <w:jc w:val="both"/>
        <w:rPr>
          <w:rStyle w:val="12"/>
          <w:b w:val="0"/>
          <w:sz w:val="28"/>
        </w:rPr>
      </w:pPr>
    </w:p>
    <w:p>
      <w:pPr>
        <w:jc w:val="both"/>
        <w:rPr>
          <w:rStyle w:val="12"/>
          <w:b w:val="0"/>
          <w:sz w:val="28"/>
        </w:rPr>
      </w:pPr>
    </w:p>
    <w:p>
      <w:pPr>
        <w:jc w:val="both"/>
        <w:rPr>
          <w:rStyle w:val="12"/>
          <w:b w:val="0"/>
          <w:sz w:val="28"/>
        </w:rPr>
      </w:pPr>
    </w:p>
    <w:p>
      <w:pPr>
        <w:spacing w:line="240" w:lineRule="exact"/>
        <w:jc w:val="both"/>
        <w:rPr>
          <w:rStyle w:val="12"/>
          <w:b w:val="0"/>
          <w:sz w:val="28"/>
        </w:rPr>
      </w:pPr>
      <w:r>
        <w:rPr>
          <w:rStyle w:val="12"/>
          <w:b w:val="0"/>
          <w:sz w:val="28"/>
        </w:rPr>
        <w:t>Заместитель руководителя комитета</w:t>
      </w:r>
    </w:p>
    <w:p>
      <w:pPr>
        <w:spacing w:line="240" w:lineRule="exact"/>
        <w:jc w:val="both"/>
        <w:rPr>
          <w:rStyle w:val="12"/>
          <w:b w:val="0"/>
          <w:sz w:val="28"/>
        </w:rPr>
      </w:pPr>
      <w:r>
        <w:rPr>
          <w:rStyle w:val="12"/>
          <w:b w:val="0"/>
          <w:sz w:val="28"/>
        </w:rPr>
        <w:t>по делам гражданской обороны</w:t>
      </w:r>
    </w:p>
    <w:p>
      <w:pPr>
        <w:spacing w:line="240" w:lineRule="exact"/>
        <w:jc w:val="both"/>
        <w:rPr>
          <w:rStyle w:val="12"/>
          <w:b w:val="0"/>
          <w:sz w:val="28"/>
        </w:rPr>
      </w:pPr>
      <w:r>
        <w:rPr>
          <w:rStyle w:val="12"/>
          <w:b w:val="0"/>
          <w:sz w:val="28"/>
        </w:rPr>
        <w:t>и чрезвычайным ситуациям</w:t>
      </w:r>
    </w:p>
    <w:p>
      <w:pPr>
        <w:spacing w:line="240" w:lineRule="exact"/>
        <w:jc w:val="both"/>
        <w:rPr>
          <w:rStyle w:val="12"/>
          <w:b w:val="0"/>
          <w:sz w:val="28"/>
        </w:rPr>
      </w:pPr>
      <w:r>
        <w:rPr>
          <w:rStyle w:val="12"/>
          <w:b w:val="0"/>
          <w:sz w:val="28"/>
        </w:rPr>
        <w:t>администрации города Ставрополя                                       Я.В. Васильковский</w:t>
      </w:r>
    </w:p>
    <w:p>
      <w:pPr>
        <w:spacing w:line="240" w:lineRule="exact"/>
        <w:jc w:val="both"/>
        <w:rPr>
          <w:sz w:val="28"/>
        </w:rPr>
      </w:pPr>
      <w:bookmarkStart w:id="0" w:name="_GoBack"/>
      <w:bookmarkEnd w:id="0"/>
    </w:p>
    <w:p>
      <w:pPr>
        <w:spacing w:line="240" w:lineRule="exact"/>
        <w:rPr>
          <w:sz w:val="32"/>
        </w:rPr>
      </w:pPr>
    </w:p>
    <w:sectPr>
      <w:headerReference r:id="rId5" w:type="default"/>
      <w:pgSz w:w="11906" w:h="16838"/>
      <w:pgMar w:top="1418" w:right="567" w:bottom="1134" w:left="1985" w:header="709" w:footer="709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XO Thames">
    <w:panose1 w:val="02020603050405020304"/>
    <w:charset w:val="00"/>
    <w:family w:val="auto"/>
    <w:pitch w:val="default"/>
    <w:sig w:usb0="800002FF" w:usb1="0000084A" w:usb2="00000000" w:usb3="00000000" w:csb0="00000015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Caladea"/>
    <w:panose1 w:val="02040503050406030204"/>
    <w:charset w:val="00"/>
    <w:family w:val="auto"/>
    <w:pitch w:val="default"/>
    <w:sig w:usb0="00000000" w:usb1="00000000" w:usb2="00000000" w:usb3="00000000" w:csb0="0000019F" w:csb1="00000000"/>
  </w:font>
  <w:font w:name="Caladea">
    <w:panose1 w:val="02040503050406030204"/>
    <w:charset w:val="00"/>
    <w:family w:val="auto"/>
    <w:pitch w:val="default"/>
    <w:sig w:usb0="00000007" w:usb1="00000000" w:usb2="00000000" w:usb3="00000000" w:csb0="2000009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rPr>
        <w:rStyle w:val="11"/>
      </w:rPr>
      <w:fldChar w:fldCharType="begin"/>
    </w:r>
    <w:r>
      <w:rPr>
        <w:rStyle w:val="11"/>
      </w:rPr>
      <w:instrText xml:space="preserve">PAGE </w:instrText>
    </w:r>
    <w:r>
      <w:rPr>
        <w:rStyle w:val="11"/>
      </w:rPr>
      <w:fldChar w:fldCharType="separate"/>
    </w:r>
    <w:r>
      <w:rPr>
        <w:rStyle w:val="11"/>
      </w:rPr>
      <w:fldChar w:fldCharType="end"/>
    </w:r>
  </w:p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ECEAAB"/>
    <w:multiLevelType w:val="multilevel"/>
    <w:tmpl w:val="EBECEAAB"/>
    <w:lvl w:ilvl="0" w:tentative="0">
      <w:start w:val="1"/>
      <w:numFmt w:val="decimal"/>
      <w:pStyle w:val="28"/>
      <w:lvlText w:val="%1."/>
      <w:lvlJc w:val="left"/>
      <w:pPr>
        <w:tabs>
          <w:tab w:val="left" w:pos="1114"/>
        </w:tabs>
        <w:ind w:left="1114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834"/>
        </w:tabs>
        <w:ind w:left="1834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54"/>
        </w:tabs>
        <w:ind w:left="2554" w:hanging="180"/>
      </w:pPr>
    </w:lvl>
    <w:lvl w:ilvl="3" w:tentative="0">
      <w:start w:val="1"/>
      <w:numFmt w:val="decimal"/>
      <w:lvlText w:val="%4."/>
      <w:lvlJc w:val="left"/>
      <w:pPr>
        <w:tabs>
          <w:tab w:val="left" w:pos="3274"/>
        </w:tabs>
        <w:ind w:left="3274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94"/>
        </w:tabs>
        <w:ind w:left="3994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714"/>
        </w:tabs>
        <w:ind w:left="4714" w:hanging="180"/>
      </w:pPr>
    </w:lvl>
    <w:lvl w:ilvl="6" w:tentative="0">
      <w:start w:val="1"/>
      <w:numFmt w:val="decimal"/>
      <w:lvlText w:val="%7."/>
      <w:lvlJc w:val="left"/>
      <w:pPr>
        <w:tabs>
          <w:tab w:val="left" w:pos="5434"/>
        </w:tabs>
        <w:ind w:left="5434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54"/>
        </w:tabs>
        <w:ind w:left="6154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74"/>
        </w:tabs>
        <w:ind w:left="68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7BED4D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nhideWhenUsed="0" w:uiPriority="0" w:semiHidden="0" w:name="Strong"/>
    <w:lsdException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/>
      <w:color w:val="000000"/>
      <w:spacing w:val="0"/>
      <w:sz w:val="24"/>
    </w:rPr>
  </w:style>
  <w:style w:type="paragraph" w:styleId="2">
    <w:name w:val="heading 1"/>
    <w:basedOn w:val="1"/>
    <w:next w:val="1"/>
    <w:qFormat/>
    <w:uiPriority w:val="9"/>
    <w:pPr>
      <w:keepNext/>
      <w:jc w:val="center"/>
      <w:outlineLvl w:val="0"/>
    </w:pPr>
    <w:rPr>
      <w:rFonts w:ascii="Arial Narrow" w:hAnsi="Arial Narrow"/>
      <w:caps/>
      <w:color w:val="000000"/>
      <w:u w:val="single"/>
    </w:rPr>
  </w:style>
  <w:style w:type="paragraph" w:styleId="3">
    <w:name w:val="heading 2"/>
    <w:basedOn w:val="1"/>
    <w:next w:val="1"/>
    <w:qFormat/>
    <w:uiPriority w:val="9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4">
    <w:name w:val="heading 3"/>
    <w:next w:val="1"/>
    <w:qFormat/>
    <w:uiPriority w:val="9"/>
    <w:pPr>
      <w:spacing w:before="120" w:after="120" w:line="240" w:lineRule="auto"/>
      <w:ind w:left="0" w:right="0" w:firstLine="0"/>
      <w:jc w:val="both"/>
      <w:outlineLvl w:val="2"/>
    </w:pPr>
    <w:rPr>
      <w:rFonts w:ascii="XO Thames" w:hAnsi="XO Thames"/>
      <w:b/>
      <w:color w:val="000000"/>
      <w:spacing w:val="0"/>
      <w:sz w:val="26"/>
    </w:rPr>
  </w:style>
  <w:style w:type="paragraph" w:styleId="5">
    <w:name w:val="heading 4"/>
    <w:next w:val="1"/>
    <w:qFormat/>
    <w:uiPriority w:val="9"/>
    <w:pPr>
      <w:spacing w:before="120" w:after="120" w:line="240" w:lineRule="auto"/>
      <w:ind w:left="0" w:right="0" w:firstLine="0"/>
      <w:jc w:val="both"/>
      <w:outlineLvl w:val="3"/>
    </w:pPr>
    <w:rPr>
      <w:rFonts w:ascii="XO Thames" w:hAnsi="XO Thames"/>
      <w:b/>
      <w:color w:val="000000"/>
      <w:spacing w:val="0"/>
      <w:sz w:val="24"/>
    </w:rPr>
  </w:style>
  <w:style w:type="paragraph" w:styleId="6">
    <w:name w:val="heading 5"/>
    <w:next w:val="1"/>
    <w:qFormat/>
    <w:uiPriority w:val="9"/>
    <w:pPr>
      <w:spacing w:before="120" w:after="120" w:line="240" w:lineRule="auto"/>
      <w:ind w:left="0" w:right="0" w:firstLine="0"/>
      <w:jc w:val="both"/>
      <w:outlineLvl w:val="4"/>
    </w:pPr>
    <w:rPr>
      <w:rFonts w:ascii="XO Thames" w:hAnsi="XO Thames"/>
      <w:b/>
      <w:color w:val="000000"/>
      <w:spacing w:val="0"/>
      <w:sz w:val="22"/>
    </w:rPr>
  </w:style>
  <w:style w:type="character" w:default="1" w:styleId="7">
    <w:name w:val="Default Paragraph Font"/>
    <w:uiPriority w:val="0"/>
  </w:style>
  <w:style w:type="table" w:default="1" w:styleId="8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uiPriority w:val="0"/>
    <w:rPr>
      <w:i/>
    </w:rPr>
  </w:style>
  <w:style w:type="character" w:styleId="10">
    <w:name w:val="Hyperlink"/>
    <w:uiPriority w:val="0"/>
    <w:rPr>
      <w:color w:val="0000FF"/>
      <w:u w:val="single"/>
    </w:rPr>
  </w:style>
  <w:style w:type="character" w:styleId="11">
    <w:name w:val="page number"/>
    <w:basedOn w:val="7"/>
    <w:uiPriority w:val="0"/>
  </w:style>
  <w:style w:type="character" w:styleId="12">
    <w:name w:val="Strong"/>
    <w:uiPriority w:val="0"/>
    <w:rPr>
      <w:b/>
    </w:rPr>
  </w:style>
  <w:style w:type="paragraph" w:styleId="13">
    <w:name w:val="toc 8"/>
    <w:next w:val="1"/>
    <w:uiPriority w:val="39"/>
    <w:pPr>
      <w:spacing w:before="0" w:after="0" w:line="240" w:lineRule="auto"/>
      <w:ind w:left="1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4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5">
    <w:name w:val="toc 9"/>
    <w:next w:val="1"/>
    <w:uiPriority w:val="39"/>
    <w:pPr>
      <w:spacing w:before="0" w:after="0" w:line="240" w:lineRule="auto"/>
      <w:ind w:left="1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6">
    <w:name w:val="toc 7"/>
    <w:next w:val="1"/>
    <w:uiPriority w:val="39"/>
    <w:pPr>
      <w:spacing w:before="0" w:after="0" w:line="240" w:lineRule="auto"/>
      <w:ind w:left="1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7">
    <w:name w:val="Body Text"/>
    <w:basedOn w:val="1"/>
    <w:uiPriority w:val="0"/>
    <w:pPr>
      <w:spacing w:line="360" w:lineRule="auto"/>
      <w:ind w:left="0" w:firstLine="720"/>
      <w:jc w:val="both"/>
    </w:pPr>
    <w:rPr>
      <w:sz w:val="28"/>
    </w:rPr>
  </w:style>
  <w:style w:type="paragraph" w:styleId="18">
    <w:name w:val="toc 1"/>
    <w:next w:val="1"/>
    <w:uiPriority w:val="39"/>
    <w:pPr>
      <w:spacing w:before="0" w:after="0" w:line="240" w:lineRule="auto"/>
      <w:ind w:left="0" w:right="0" w:firstLine="0"/>
      <w:jc w:val="left"/>
    </w:pPr>
    <w:rPr>
      <w:rFonts w:ascii="XO Thames" w:hAnsi="XO Thames"/>
      <w:b/>
      <w:color w:val="000000"/>
      <w:spacing w:val="0"/>
      <w:sz w:val="28"/>
    </w:rPr>
  </w:style>
  <w:style w:type="paragraph" w:styleId="19">
    <w:name w:val="toc 6"/>
    <w:next w:val="1"/>
    <w:uiPriority w:val="39"/>
    <w:pPr>
      <w:spacing w:before="0" w:after="0" w:line="240" w:lineRule="auto"/>
      <w:ind w:left="10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0">
    <w:name w:val="toc 3"/>
    <w:next w:val="1"/>
    <w:uiPriority w:val="39"/>
    <w:pPr>
      <w:spacing w:before="0" w:after="0" w:line="240" w:lineRule="auto"/>
      <w:ind w:left="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1">
    <w:name w:val="toc 2"/>
    <w:next w:val="1"/>
    <w:uiPriority w:val="39"/>
    <w:pPr>
      <w:spacing w:before="0" w:after="0" w:line="240" w:lineRule="auto"/>
      <w:ind w:left="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2">
    <w:name w:val="toc 4"/>
    <w:next w:val="1"/>
    <w:uiPriority w:val="39"/>
    <w:pPr>
      <w:spacing w:before="0" w:after="0" w:line="240" w:lineRule="auto"/>
      <w:ind w:left="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3">
    <w:name w:val="toc 5"/>
    <w:next w:val="1"/>
    <w:uiPriority w:val="39"/>
    <w:pPr>
      <w:spacing w:before="0" w:after="0" w:line="240" w:lineRule="auto"/>
      <w:ind w:left="8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24">
    <w:name w:val="Title"/>
    <w:next w:val="1"/>
    <w:qFormat/>
    <w:uiPriority w:val="10"/>
    <w:pPr>
      <w:spacing w:before="567" w:after="567" w:line="240" w:lineRule="auto"/>
      <w:ind w:left="0" w:right="0" w:firstLine="0"/>
      <w:jc w:val="center"/>
    </w:pPr>
    <w:rPr>
      <w:rFonts w:ascii="XO Thames" w:hAnsi="XO Thames"/>
      <w:b/>
      <w:caps/>
      <w:color w:val="000000"/>
      <w:spacing w:val="0"/>
      <w:sz w:val="40"/>
    </w:rPr>
  </w:style>
  <w:style w:type="paragraph" w:styleId="25">
    <w:name w:val="footer"/>
    <w:basedOn w:val="1"/>
    <w:uiPriority w:val="0"/>
    <w:pPr>
      <w:tabs>
        <w:tab w:val="center" w:pos="4677"/>
        <w:tab w:val="right" w:pos="9355"/>
      </w:tabs>
    </w:pPr>
  </w:style>
  <w:style w:type="paragraph" w:styleId="26">
    <w:name w:val="Subtitle"/>
    <w:next w:val="1"/>
    <w:qFormat/>
    <w:uiPriority w:val="11"/>
    <w:pPr>
      <w:spacing w:before="0" w:after="0" w:line="240" w:lineRule="auto"/>
      <w:ind w:left="0" w:right="0" w:firstLine="0"/>
      <w:jc w:val="both"/>
    </w:pPr>
    <w:rPr>
      <w:rFonts w:ascii="XO Thames" w:hAnsi="XO Thames"/>
      <w:i/>
      <w:color w:val="000000"/>
      <w:spacing w:val="0"/>
      <w:sz w:val="24"/>
    </w:rPr>
  </w:style>
  <w:style w:type="table" w:styleId="27">
    <w:name w:val="Table Grid"/>
    <w:basedOn w:val="8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28">
    <w:name w:val="Маркированный список 21"/>
    <w:basedOn w:val="1"/>
    <w:link w:val="29"/>
    <w:uiPriority w:val="0"/>
    <w:pPr>
      <w:numPr>
        <w:ilvl w:val="0"/>
        <w:numId w:val="1"/>
      </w:numPr>
      <w:spacing w:line="360" w:lineRule="auto"/>
      <w:jc w:val="both"/>
    </w:pPr>
    <w:rPr>
      <w:sz w:val="28"/>
    </w:rPr>
  </w:style>
  <w:style w:type="character" w:customStyle="1" w:styleId="29">
    <w:name w:val="Маркированный список 211"/>
    <w:link w:val="28"/>
    <w:uiPriority w:val="0"/>
    <w:rPr>
      <w:sz w:val="28"/>
    </w:rPr>
  </w:style>
  <w:style w:type="paragraph" w:customStyle="1" w:styleId="30">
    <w:name w:val="Нумерованный список1"/>
    <w:basedOn w:val="1"/>
    <w:link w:val="31"/>
    <w:uiPriority w:val="0"/>
    <w:pPr>
      <w:spacing w:line="360" w:lineRule="auto"/>
      <w:jc w:val="both"/>
    </w:pPr>
    <w:rPr>
      <w:sz w:val="28"/>
    </w:rPr>
  </w:style>
  <w:style w:type="character" w:customStyle="1" w:styleId="31">
    <w:name w:val="Нумерованный список11"/>
    <w:link w:val="30"/>
    <w:uiPriority w:val="0"/>
    <w:rPr>
      <w:sz w:val="28"/>
    </w:rPr>
  </w:style>
  <w:style w:type="paragraph" w:customStyle="1" w:styleId="32">
    <w:name w:val="Маркированный список1"/>
    <w:basedOn w:val="1"/>
    <w:link w:val="33"/>
    <w:uiPriority w:val="0"/>
    <w:pPr>
      <w:spacing w:line="360" w:lineRule="auto"/>
      <w:jc w:val="both"/>
    </w:pPr>
    <w:rPr>
      <w:sz w:val="28"/>
    </w:rPr>
  </w:style>
  <w:style w:type="character" w:customStyle="1" w:styleId="33">
    <w:name w:val="Маркированный список11"/>
    <w:link w:val="32"/>
    <w:uiPriority w:val="0"/>
    <w:rPr>
      <w:sz w:val="28"/>
    </w:rPr>
  </w:style>
  <w:style w:type="paragraph" w:customStyle="1" w:styleId="34">
    <w:name w:val="Footnote"/>
    <w:link w:val="35"/>
    <w:uiPriority w:val="0"/>
    <w:pPr>
      <w:spacing w:before="0" w:after="0" w:line="240" w:lineRule="auto"/>
      <w:ind w:left="0" w:right="0" w:firstLine="851"/>
      <w:jc w:val="both"/>
    </w:pPr>
    <w:rPr>
      <w:rFonts w:ascii="XO Thames" w:hAnsi="XO Thames"/>
      <w:color w:val="000000"/>
      <w:spacing w:val="0"/>
      <w:sz w:val="22"/>
    </w:rPr>
  </w:style>
  <w:style w:type="character" w:customStyle="1" w:styleId="35">
    <w:name w:val="Footnote1"/>
    <w:link w:val="34"/>
    <w:uiPriority w:val="0"/>
    <w:rPr>
      <w:rFonts w:ascii="XO Thames" w:hAnsi="XO Thames"/>
      <w:sz w:val="22"/>
    </w:rPr>
  </w:style>
  <w:style w:type="paragraph" w:customStyle="1" w:styleId="36">
    <w:name w:val="Header and Footer"/>
    <w:link w:val="37"/>
    <w:uiPriority w:val="0"/>
    <w:pPr>
      <w:spacing w:before="0" w:after="0" w:line="240" w:lineRule="auto"/>
      <w:ind w:left="0" w:right="0" w:firstLine="0"/>
      <w:jc w:val="both"/>
    </w:pPr>
    <w:rPr>
      <w:rFonts w:ascii="XO Thames" w:hAnsi="XO Thames"/>
      <w:color w:val="000000"/>
      <w:spacing w:val="0"/>
      <w:sz w:val="20"/>
    </w:rPr>
  </w:style>
  <w:style w:type="character" w:customStyle="1" w:styleId="37">
    <w:name w:val="Header and Footer1"/>
    <w:link w:val="36"/>
    <w:uiPriority w:val="0"/>
    <w:rPr>
      <w:rFonts w:ascii="XO Thames" w:hAnsi="XO Thames"/>
      <w:sz w:val="20"/>
    </w:rPr>
  </w:style>
  <w:style w:type="paragraph" w:customStyle="1" w:styleId="38">
    <w:name w:val="Table_title_header"/>
    <w:basedOn w:val="1"/>
    <w:link w:val="39"/>
    <w:uiPriority w:val="0"/>
    <w:pPr>
      <w:spacing w:before="120"/>
      <w:jc w:val="center"/>
    </w:pPr>
    <w:rPr>
      <w:sz w:val="32"/>
    </w:rPr>
  </w:style>
  <w:style w:type="character" w:customStyle="1" w:styleId="39">
    <w:name w:val="Table_title_header1"/>
    <w:link w:val="38"/>
    <w:uiPriority w:val="0"/>
    <w:rPr>
      <w:sz w:val="32"/>
    </w:rPr>
  </w:style>
  <w:style w:type="paragraph" w:customStyle="1" w:styleId="40">
    <w:name w:val="ConsPlusNormal"/>
    <w:link w:val="41"/>
    <w:uiPriority w:val="0"/>
    <w:pPr>
      <w:spacing w:before="0" w:after="0" w:line="240" w:lineRule="auto"/>
      <w:ind w:left="0" w:right="0" w:firstLine="0"/>
      <w:jc w:val="left"/>
    </w:pPr>
    <w:rPr>
      <w:rFonts w:ascii="Arial" w:hAnsi="Arial"/>
      <w:color w:val="000000"/>
      <w:spacing w:val="0"/>
      <w:sz w:val="20"/>
    </w:rPr>
  </w:style>
  <w:style w:type="character" w:customStyle="1" w:styleId="41">
    <w:name w:val="ConsPlusNormal1"/>
    <w:link w:val="40"/>
    <w:uiPriority w:val="0"/>
    <w:rPr>
      <w:rFonts w:ascii="Arial" w:hAnsi="Arial"/>
    </w:rPr>
  </w:style>
  <w:style w:type="paragraph" w:customStyle="1" w:styleId="42">
    <w:name w:val="Текст обычный"/>
    <w:basedOn w:val="1"/>
    <w:link w:val="43"/>
    <w:uiPriority w:val="0"/>
    <w:pPr>
      <w:spacing w:before="120"/>
      <w:ind w:left="0" w:firstLine="709"/>
      <w:jc w:val="both"/>
    </w:pPr>
  </w:style>
  <w:style w:type="character" w:customStyle="1" w:styleId="43">
    <w:name w:val="Текст обычный1"/>
    <w:link w:val="4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2023-08-16T11:49:59Z</dcterms:created>
  <dc:creator>ms.ivanov</dc:creator>
  <cp:lastModifiedBy>ms.ivanov</cp:lastModifiedBy>
  <dcterms:modified xsi:type="dcterms:W3CDTF">2023-08-16T11:50:50Z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1049-11.1.0.11664</vt:lpwstr>
  </property>
</Properties>
</file>