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31.10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семнадцатое </w:t>
      </w:r>
      <w:r>
        <w:rPr>
          <w:sz w:val="28"/>
        </w:rPr>
        <w:t>засед</w:t>
      </w:r>
      <w:r>
        <w:rPr>
          <w:sz w:val="28"/>
        </w:rPr>
        <w:t xml:space="preserve">ание консультативного совета по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9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касающимся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18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налогу на доходы физических лиц, имущественным налогам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в </w:t>
      </w:r>
      <w:r>
        <w:rPr>
          <w:sz w:val="28"/>
        </w:rPr>
        <w:t>общей сумме 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678,78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 9</w:t>
      </w:r>
      <w:r>
        <w:rPr>
          <w:sz w:val="28"/>
        </w:rPr>
        <w:t xml:space="preserve">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 </w:t>
      </w:r>
      <w:r>
        <w:rPr>
          <w:sz w:val="28"/>
        </w:rPr>
        <w:t xml:space="preserve">сравнению </w:t>
      </w:r>
      <w:r>
        <w:rPr>
          <w:sz w:val="28"/>
        </w:rPr>
        <w:t xml:space="preserve">с </w:t>
      </w:r>
      <w:r>
        <w:rPr>
          <w:sz w:val="28"/>
        </w:rPr>
        <w:t>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года,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 xml:space="preserve">дители </w:t>
      </w:r>
      <w:r>
        <w:rPr>
          <w:color w:themeColor="text1" w:val="000000"/>
          <w:sz w:val="28"/>
        </w:rPr>
        <w:t>8</w:t>
      </w:r>
      <w:r>
        <w:rPr>
          <w:color w:themeColor="text1" w:val="000000"/>
          <w:sz w:val="28"/>
        </w:rPr>
        <w:t xml:space="preserve"> 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 xml:space="preserve">«Высокий» и 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девятью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1 286,86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2024-11-06T11:08:44Z</dcterms:modified>
</cp:coreProperties>
</file>