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29.08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тринадцатое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7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20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налогу на доходы физических лиц, имущественным налогам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</w:t>
      </w:r>
      <w:r>
        <w:rPr>
          <w:sz w:val="28"/>
        </w:rPr>
        <w:t>общую сумму 3 810,14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 7</w:t>
      </w:r>
      <w:r>
        <w:rPr>
          <w:sz w:val="28"/>
        </w:rPr>
        <w:t xml:space="preserve">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сравнению </w:t>
      </w:r>
      <w:r>
        <w:rPr>
          <w:sz w:val="28"/>
        </w:rPr>
        <w:t>с 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года,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>дители 7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>«Высокий» и</w:t>
      </w:r>
      <w:r>
        <w:rPr>
          <w:color w:themeColor="text1" w:val="000000"/>
          <w:sz w:val="28"/>
        </w:rPr>
        <w:t xml:space="preserve"> «Средний».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девятью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1 756,96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2024-08-30T12:42:40Z</dcterms:modified>
</cp:coreProperties>
</file>