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08.08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одиннадцатое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6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отношении которых сформированы налоговые риски групп «Средний», «Высокий» и «Критический».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 xml:space="preserve">были приглашены </w:t>
      </w:r>
      <w:r>
        <w:rPr>
          <w:sz w:val="28"/>
        </w:rPr>
        <w:t xml:space="preserve">18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земельному налогу с организаций, налогу, взимаемому в связи 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>, налогу на доходы 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на </w:t>
      </w:r>
      <w:r>
        <w:rPr>
          <w:sz w:val="28"/>
        </w:rPr>
        <w:t>общую сумму 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302,48</w:t>
      </w:r>
      <w:r>
        <w:rPr>
          <w:sz w:val="28"/>
        </w:rPr>
        <w:t xml:space="preserve"> </w:t>
      </w:r>
      <w:r>
        <w:rPr>
          <w:sz w:val="28"/>
        </w:rPr>
        <w:t>тыс. рублей,</w:t>
      </w:r>
      <w:r>
        <w:rPr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 xml:space="preserve">а доходы физических лиц за </w:t>
      </w:r>
      <w:r>
        <w:rPr>
          <w:sz w:val="28"/>
        </w:rPr>
        <w:t xml:space="preserve">6 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сравнению </w:t>
      </w:r>
      <w:r>
        <w:rPr>
          <w:sz w:val="28"/>
        </w:rPr>
        <w:t>с аналогичным пери</w:t>
      </w:r>
      <w:r>
        <w:rPr>
          <w:sz w:val="28"/>
        </w:rPr>
        <w:t xml:space="preserve">одом </w:t>
      </w:r>
      <w:r>
        <w:rPr>
          <w:sz w:val="28"/>
        </w:rPr>
        <w:t>2023</w:t>
      </w:r>
      <w:r>
        <w:rPr>
          <w:sz w:val="28"/>
        </w:rPr>
        <w:t xml:space="preserve"> года и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>дители 8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>отношении которых налоговым органом сформированы налоговые риски групп «Средний», «Высокий» и «Критический».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частично или в полном объеме десятью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1 414,33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Также 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2024-08-09T09:11:22Z</dcterms:modified>
</cp:coreProperties>
</file>