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Достижение ключевых показателей товарных рынков для содействия развитию конкуренции в городе Ставрополе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  <w:t xml:space="preserve">на 01.01.2023 года</w:t>
      </w:r>
      <w:r>
        <w:rPr>
          <w:color w:val="000000" w:themeColor="text1"/>
        </w:rPr>
      </w:r>
    </w:p>
    <w:p>
      <w:pPr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tbl>
      <w:tblPr>
        <w:tblStyle w:val="602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528"/>
        <w:gridCol w:w="1701"/>
        <w:gridCol w:w="1276"/>
        <w:gridCol w:w="1276"/>
        <w:gridCol w:w="1701"/>
      </w:tblGrid>
      <w:tr>
        <w:trPr>
          <w:trHeight w:val="738"/>
        </w:trPr>
        <w:tc>
          <w:tcPr>
            <w:tcW w:w="851" w:type="dxa"/>
            <w:vMerge w:val="restart"/>
            <w:textDirection w:val="lrTb"/>
            <w:noWrap w:val="false"/>
          </w:tcPr>
          <w:p>
            <w:pPr>
              <w:ind w:left="205" w:hanging="205"/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товарного рынка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ключевого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показателя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Единица измерения ключевого показателя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gridSpan w:val="3"/>
            <w:tcW w:w="4253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Значение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ключевого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показателя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276"/>
        </w:trPr>
        <w:tc>
          <w:tcPr>
            <w:tcW w:w="851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528" w:type="dxa"/>
            <w:vMerge w:val="continue"/>
            <w:textDirection w:val="lrTb"/>
            <w:noWrap w:val="false"/>
          </w:tcPr>
          <w:p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2022 план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2022 факт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примечание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1675"/>
        </w:trPr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Рынок услуг дошкольного образования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доля обучающихся дошкольного возраста в частных образовательных организациях,                                       у индивидуальных предпринимателей, реализующих основные общеобразовательные прогр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аммы - образовательные программы дошкольного образования, в общей численности обучающихся дошкольного возраста в образовательных организациях, у индивидуальных предпринимателей, реализующих основные общеобразовательные программы - образовательные программы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дошкольного образования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единиц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достигнут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276"/>
        </w:trPr>
        <w:tc>
          <w:tcPr>
            <w:tcW w:w="851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vMerge w:val="continue"/>
            <w:textDirection w:val="lrTb"/>
            <w:noWrap w:val="false"/>
          </w:tcPr>
          <w:p>
            <w:pPr>
              <w:jc w:val="both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  <w:lang w:eastAsia="ru-RU"/>
              </w:rPr>
              <w:t xml:space="preserve">процентов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0,8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0,8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достигнут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1269"/>
        </w:trPr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Рынок услуг общего образования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доля обучающихся в частных образовательных организациях, реализующих основные общеобразовательные программы - образовательные программы начального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единиц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достигнут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276"/>
        </w:trPr>
        <w:tc>
          <w:tcPr>
            <w:tcW w:w="851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vMerge w:val="continue"/>
            <w:textDirection w:val="lrTb"/>
            <w:noWrap w:val="false"/>
          </w:tcPr>
          <w:p>
            <w:pPr>
              <w:pStyle w:val="603"/>
              <w:jc w:val="both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процентов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0,4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0,4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достигнут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276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Рынок услуг дополнительного образования детей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528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доля организаций частной формы собственности в сфере услуг дополнительного образования детей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процентов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5,0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достигнут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276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Рынок услуг детского отдыха и оздоровления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528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доля организаций отдыха и оздоровления детей частной формы собственности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процентов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7,5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7,5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достигнут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276"/>
        </w:trPr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Рынок услуг розничной торговли лекарственными препаратами,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медицинскими изделиями и сопутствующими товарами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jc w:val="both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pStyle w:val="1_6738"/>
              <w:ind w:right="-116"/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доля организаций частной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  <w:lang w:val="en-US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  формы собственности 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  <w:lang w:val="en-US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 сфере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  <w:lang w:val="en-US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 услуг розничной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  <w:lang w:val="en-US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 торговли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pStyle w:val="1_6738"/>
              <w:ind w:right="-116"/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лекарственными препаратами, медицинскими изделиями и сопутствующими товарами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1_6738"/>
              <w:ind w:right="-116"/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процентов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1_6738"/>
              <w:ind w:right="-116"/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98,0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98,0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достигнут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</w:tr>
      <w:tr>
        <w:trPr>
          <w:trHeight w:val="276"/>
        </w:trPr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Рынок ритуальных услуг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jc w:val="both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доля организаций частной формы собственности в сфере ритуальных услуг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1_6738"/>
              <w:ind w:right="-116"/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процентов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1_6738"/>
              <w:ind w:right="-116"/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88,9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88,9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достигнут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</w:tr>
      <w:tr>
        <w:trPr>
          <w:trHeight w:val="276"/>
        </w:trPr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Рынок теплоснабжения (производство тепловой энергии)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доля организаций частной формы собственности в сфере теплоснабжения (производства тепловой энергии)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процентов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20,0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20,0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достигнут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276"/>
        </w:trPr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Рынок услуг по сбору и транспортированию твердых коммунальных отходов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jc w:val="both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доля организаций частной формы собственности в сфере услуг по сбору 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транспортированию твердых коммунальных отходов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процентов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достигнут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</w:tr>
      <w:tr>
        <w:trPr>
          <w:trHeight w:val="276"/>
        </w:trPr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Рынок выполнения работ по благоустройству городской среды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доля организаций частной формы собственности в сфере выполнения работ по благоустройству городской среды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процентов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87,5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87,5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достигнут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276"/>
        </w:trPr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Рынок выполнения работ по содержанию и текущему ремонту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процентов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достигнут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</w:tr>
      <w:tr>
        <w:trPr>
          <w:trHeight w:val="276"/>
        </w:trPr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Рынок архитектурно-строительного проектирования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доля организаций частной формы собственности в сфере архитектурно-строительного проектирования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процентов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99,3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99,3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достигнут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276"/>
        </w:trPr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Рынок купли-продажи  электрической энергии (мощности) на розничном рынке электрической энергии (мощности)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jc w:val="both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процентов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достигнут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</w:tr>
      <w:tr>
        <w:trPr>
          <w:trHeight w:val="276"/>
        </w:trPr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13.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Рынок оказания услуг по перевозке пассажиров и багажа легковым такси по территории города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5760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процентов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1_6738"/>
              <w:ind w:right="-116"/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достигнут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</w:tr>
      <w:tr>
        <w:trPr>
          <w:trHeight w:val="276"/>
        </w:trPr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14.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доля удовлетворенных заявлений операторов связи на размещение сетей и сооружений связи на объектах государственной и муниципальной  собственности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процентов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20,0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21,4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достигнут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276"/>
        </w:trPr>
        <w:tc>
          <w:tcPr>
            <w:tcW w:w="851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процентов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98,0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107,0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достигнут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276"/>
        </w:trPr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15.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Рынок дорожной деятельности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(за исключением проектирования)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доля организаций частной формы собственности в сфере дорожной деятельности (за исключением проектирования)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процентов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достигнут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276"/>
        </w:trPr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16.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Сфера наружной рекламы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доля организаций частной формы собственности в сфере наружной рекламы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процентов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достигнут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276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17.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Рынок оказания услуг по ремонту автотранспортных средств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доля организаций частной формы собственности в сфере оказания услуг по ремонту автотранспортных средств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tabs>
                <w:tab w:val="left" w:pos="5760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процентов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5760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99,9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99,9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достигнут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276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18.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Рынок кадастровых и землеустроительных работ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jc w:val="both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доля организаций частной формы собственности в сфере кадастровых и землеустроительных работ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tabs>
                <w:tab w:val="left" w:pos="5760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процентов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5760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80,0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80,0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достигнут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276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19.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Рынок жилищного строительства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(за исключением  индивидуального жилищного строительства)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доля организаций частной формы собственности в сфере жилищного строительства (за исключением индивидуального жилищного строительства)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процентов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8"/>
              </w:rPr>
              <w:t xml:space="preserve">достигнут</w:t>
            </w:r>
            <w:r>
              <w:rPr>
                <w:rFonts w:ascii="Times New Roman" w:hAnsi="Times New Roman" w:cs="Times New Roman" w:eastAsia="Times New Roman"/>
                <w:sz w:val="22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606"/>
        </w:trPr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20.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Рынок производства бетона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528" w:type="dxa"/>
            <w:textDirection w:val="lrTb"/>
            <w:noWrap w:val="false"/>
          </w:tcPr>
          <w:p>
            <w:pPr>
              <w:pStyle w:val="1_6738"/>
              <w:ind w:right="-116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доля организаций частной формы собственности в сфере производства бетона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1_6738"/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процентов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1_6738"/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достигнут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276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21.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Рынок легкой промышленности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jc w:val="both"/>
              <w:spacing w:line="240" w:lineRule="exact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доля организаций частной формы собственности в сфере легкой промышленности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1_6738"/>
              <w:ind w:right="-116"/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процентов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1_6738"/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  <w:t xml:space="preserve">достигнут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</w:tbl>
    <w:p>
      <w:pPr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</w:rPr>
        <w:t xml:space="preserve">___________________</w:t>
      </w:r>
      <w:r>
        <w:rPr>
          <w:color w:val="000000" w:themeColor="text1"/>
        </w:rPr>
      </w:r>
    </w:p>
    <w:sectPr>
      <w:footnotePr/>
      <w:endnotePr/>
      <w:type w:val="nextPage"/>
      <w:pgSz w:w="16838" w:h="11906" w:orient="landscape"/>
      <w:pgMar w:top="851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 w:hint="default"/>
        <w:sz w:val="28"/>
        <w:szCs w:val="28"/>
        <w:lang w:val="ru-RU" w:bidi="ar-SA" w:eastAsia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jc w:val="left"/>
    </w:pPr>
    <w:rPr>
      <w:rFonts w:eastAsia="Times New Roman"/>
      <w:sz w:val="24"/>
      <w:szCs w:val="24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3" w:customStyle="1">
    <w:name w:val="Default"/>
    <w:pPr>
      <w:jc w:val="left"/>
    </w:pPr>
    <w:rPr>
      <w:color w:val="000000"/>
      <w:sz w:val="24"/>
      <w:szCs w:val="24"/>
    </w:rPr>
  </w:style>
  <w:style w:type="paragraph" w:styleId="1_6738" w:customStyle="1">
    <w:name w:val="ConsPlusNormal"/>
    <w:link w:val="725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PF.Mozharova</dc:creator>
  <cp:revision>8</cp:revision>
  <dcterms:created xsi:type="dcterms:W3CDTF">2020-02-04T06:28:00Z</dcterms:created>
  <dcterms:modified xsi:type="dcterms:W3CDTF">2023-02-07T14:39:27Z</dcterms:modified>
</cp:coreProperties>
</file>