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4B0745" w:rsidP="004B0745">
      <w:pPr>
        <w:pStyle w:val="a4"/>
        <w:widowControl w:val="0"/>
        <w:spacing w:before="120" w:after="0"/>
        <w:rPr>
          <w:sz w:val="24"/>
        </w:rPr>
      </w:pPr>
      <w:r w:rsidRPr="005B2C91">
        <w:rPr>
          <w:sz w:val="24"/>
        </w:rPr>
        <w:t>г. Ставрополь</w:t>
      </w:r>
      <w:r w:rsidRPr="005B2C91">
        <w:rPr>
          <w:sz w:val="24"/>
        </w:rPr>
        <w:tab/>
      </w:r>
      <w:r w:rsidRPr="005B2C91">
        <w:rPr>
          <w:sz w:val="24"/>
        </w:rPr>
        <w:tab/>
      </w:r>
      <w:r w:rsidRPr="005B2C91">
        <w:rPr>
          <w:sz w:val="24"/>
        </w:rPr>
        <w:tab/>
        <w:t xml:space="preserve">                                  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   </w:t>
      </w:r>
      <w:r w:rsidRPr="005B2C91">
        <w:rPr>
          <w:sz w:val="24"/>
        </w:rPr>
        <w:t>«</w:t>
      </w:r>
      <w:proofErr w:type="gramEnd"/>
      <w:r w:rsidRPr="005B2C91">
        <w:rPr>
          <w:sz w:val="24"/>
        </w:rPr>
        <w:t>___»___________20__ года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>Продавец», в лице заместителя руководителя комитета по управлению муниципальным имуществом города Ставрополя Колесникова Владимира Николаевича,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приказа комитета по управлению муниципальным имуществом города Ставрополя от 03 июня 2019 г. № 34</w:t>
      </w:r>
      <w:r w:rsidR="000538D2">
        <w:t xml:space="preserve">                    </w:t>
      </w:r>
      <w:r w:rsidRPr="005B2C91">
        <w:t xml:space="preserve"> «О распределении права подписи в комитете по управлению муниципальным имуществом города Ставрополя», с одной стороны, 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>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 xml:space="preserve">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>
        <w:t xml:space="preserve">12 декабря </w:t>
      </w:r>
      <w:r w:rsidRPr="009C4290">
        <w:t>201</w:t>
      </w:r>
      <w:r>
        <w:t>8</w:t>
      </w:r>
      <w:r w:rsidRPr="009C4290">
        <w:t xml:space="preserve"> г. № </w:t>
      </w:r>
      <w:r>
        <w:t>296</w:t>
      </w:r>
      <w:r w:rsidRPr="009C4290">
        <w:t xml:space="preserve"> «О Прогнозном плане (программе) приватизации муниципального имущества города Ставрополя на 201</w:t>
      </w:r>
      <w:r>
        <w:t>9</w:t>
      </w:r>
      <w:r w:rsidRPr="009C4290">
        <w:t xml:space="preserve"> год и плановый период 20</w:t>
      </w:r>
      <w:r>
        <w:t>20</w:t>
      </w:r>
      <w:r w:rsidRPr="009C4290">
        <w:t xml:space="preserve"> и 20</w:t>
      </w:r>
      <w:r>
        <w:t xml:space="preserve">21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 </w:t>
      </w:r>
      <w:r>
        <w:rPr>
          <w:color w:val="000000"/>
        </w:rPr>
        <w:t>___________</w:t>
      </w:r>
      <w:r w:rsidR="00D66B45">
        <w:rPr>
          <w:color w:val="000000"/>
        </w:rPr>
        <w:t>_</w:t>
      </w:r>
      <w:r w:rsidRPr="009C4290">
        <w:rPr>
          <w:color w:val="000000"/>
        </w:rPr>
        <w:t xml:space="preserve"> № </w:t>
      </w:r>
      <w:r>
        <w:rPr>
          <w:color w:val="000000"/>
        </w:rPr>
        <w:t>________</w:t>
      </w:r>
      <w:r w:rsidRPr="009C4290">
        <w:rPr>
          <w:color w:val="000000"/>
        </w:rPr>
        <w:t xml:space="preserve"> 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4C0F3F" w:rsidRDefault="004C0F3F" w:rsidP="004C0F3F">
      <w:pPr>
        <w:pStyle w:val="a4"/>
        <w:widowControl w:val="0"/>
        <w:tabs>
          <w:tab w:val="left" w:pos="360"/>
        </w:tabs>
        <w:spacing w:before="120" w:after="0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договора, указанные в </w:t>
      </w:r>
      <w:r w:rsidR="004D686B">
        <w:t xml:space="preserve">             </w:t>
      </w:r>
      <w:r>
        <w:t xml:space="preserve"> </w:t>
      </w:r>
      <w:r w:rsidRPr="009C4290">
        <w:t xml:space="preserve">п. 1.1. Договора </w:t>
      </w:r>
      <w:r w:rsidR="000538D2">
        <w:t>Нежилое помещение</w:t>
      </w:r>
      <w:r w:rsidRPr="009C4290">
        <w:t>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lastRenderedPageBreak/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4B0745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 xml:space="preserve">2.2.1. Оплатить установленную Договором стоимость приобретаемых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C0F3F" w:rsidRDefault="004C0F3F" w:rsidP="004B0745">
      <w:pPr>
        <w:widowControl w:val="0"/>
        <w:spacing w:before="120"/>
        <w:jc w:val="center"/>
        <w:rPr>
          <w:b/>
        </w:rPr>
      </w:pP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>ого нежилого помещения.</w:t>
      </w:r>
    </w:p>
    <w:p w:rsidR="004B0745" w:rsidRPr="009C4290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рабочих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Default="004B0745" w:rsidP="004B0745">
      <w:pPr>
        <w:ind w:left="709"/>
        <w:rPr>
          <w:b/>
        </w:rPr>
      </w:pPr>
      <w:r w:rsidRPr="009C4290">
        <w:rPr>
          <w:b/>
        </w:rPr>
        <w:t xml:space="preserve">КБК </w:t>
      </w:r>
      <w:r>
        <w:rPr>
          <w:b/>
        </w:rPr>
        <w:t>60211690040040041140</w:t>
      </w:r>
    </w:p>
    <w:p w:rsidR="004B0745" w:rsidRDefault="004B0745" w:rsidP="004B0745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 xml:space="preserve">, установленных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FB4F64" w:rsidRDefault="00FB4F64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4B0745" w:rsidRPr="009C4290" w:rsidRDefault="006D260E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</w:p>
    <w:p w:rsidR="004C0F3F" w:rsidRDefault="004C0F3F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403"/>
      </w:tblGrid>
      <w:tr w:rsidR="004B0745" w:rsidRPr="009C4290" w:rsidTr="0079469C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094240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Заместитель руководителя комитета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bookmarkStart w:id="0" w:name="_GoBack"/>
            <w:bookmarkEnd w:id="0"/>
            <w:r w:rsidRPr="00FE4C2E">
              <w:rPr>
                <w:sz w:val="22"/>
                <w:szCs w:val="22"/>
              </w:rPr>
              <w:t xml:space="preserve">по управлению муниципальным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имуществом города Ставрополя </w:t>
            </w:r>
          </w:p>
          <w:p w:rsidR="009D38BD" w:rsidRDefault="009D38BD" w:rsidP="0079469C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4B0745" w:rsidP="0079469C">
            <w:pPr>
              <w:pStyle w:val="a4"/>
              <w:spacing w:after="0"/>
              <w:rPr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 xml:space="preserve">___________________ В.Н. Колесников </w:t>
            </w:r>
          </w:p>
        </w:tc>
        <w:tc>
          <w:tcPr>
            <w:tcW w:w="4403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4B0745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color w:val="FF0000"/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___________________</w:t>
            </w:r>
            <w:r w:rsidRPr="00FE4C2E">
              <w:rPr>
                <w:sz w:val="22"/>
                <w:szCs w:val="22"/>
              </w:rPr>
              <w:t>___</w:t>
            </w:r>
            <w:r w:rsidRPr="00FE4C2E">
              <w:rPr>
                <w:bCs/>
                <w:sz w:val="22"/>
                <w:szCs w:val="22"/>
              </w:rPr>
              <w:t>_</w:t>
            </w:r>
            <w:r w:rsidR="001F5774" w:rsidRPr="00FE4C2E">
              <w:rPr>
                <w:bCs/>
                <w:sz w:val="22"/>
                <w:szCs w:val="22"/>
              </w:rPr>
              <w:t xml:space="preserve"> ФИО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06" w:rsidRDefault="00CD2906" w:rsidP="00F41B04">
      <w:r>
        <w:separator/>
      </w:r>
    </w:p>
  </w:endnote>
  <w:endnote w:type="continuationSeparator" w:id="0">
    <w:p w:rsidR="00CD2906" w:rsidRDefault="00CD2906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06" w:rsidRDefault="00CD2906" w:rsidP="00F41B04">
      <w:r>
        <w:separator/>
      </w:r>
    </w:p>
  </w:footnote>
  <w:footnote w:type="continuationSeparator" w:id="0">
    <w:p w:rsidR="00CD2906" w:rsidRDefault="00CD2906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40">
          <w:rPr>
            <w:noProof/>
          </w:rPr>
          <w:t>3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94240"/>
    <w:rsid w:val="001F5774"/>
    <w:rsid w:val="00204DE2"/>
    <w:rsid w:val="002D64EC"/>
    <w:rsid w:val="00331E6C"/>
    <w:rsid w:val="00400BA6"/>
    <w:rsid w:val="004055F1"/>
    <w:rsid w:val="00492255"/>
    <w:rsid w:val="004B0745"/>
    <w:rsid w:val="004C0F3F"/>
    <w:rsid w:val="004D686B"/>
    <w:rsid w:val="004F1D72"/>
    <w:rsid w:val="00502399"/>
    <w:rsid w:val="00512D52"/>
    <w:rsid w:val="005E2DFC"/>
    <w:rsid w:val="006364B3"/>
    <w:rsid w:val="006D260E"/>
    <w:rsid w:val="006F3308"/>
    <w:rsid w:val="00754A26"/>
    <w:rsid w:val="00770F24"/>
    <w:rsid w:val="007928D2"/>
    <w:rsid w:val="0079469C"/>
    <w:rsid w:val="007B2FA9"/>
    <w:rsid w:val="009D38BD"/>
    <w:rsid w:val="00A465D4"/>
    <w:rsid w:val="00A90520"/>
    <w:rsid w:val="00BB6225"/>
    <w:rsid w:val="00CD2906"/>
    <w:rsid w:val="00D46D60"/>
    <w:rsid w:val="00D66B45"/>
    <w:rsid w:val="00DD7F6D"/>
    <w:rsid w:val="00EC187A"/>
    <w:rsid w:val="00F111DE"/>
    <w:rsid w:val="00F23939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Договор</vt:lpstr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35</cp:revision>
  <cp:lastPrinted>2019-11-06T10:58:00Z</cp:lastPrinted>
  <dcterms:created xsi:type="dcterms:W3CDTF">2019-10-23T15:30:00Z</dcterms:created>
  <dcterms:modified xsi:type="dcterms:W3CDTF">2019-11-07T08:20:00Z</dcterms:modified>
</cp:coreProperties>
</file>