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0"/>
        <w:jc w:val="center"/>
        <w:rPr>
          <w:lang w:val="en-US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715645" cy="643890"/>
                <wp:effectExtent l="19050" t="0" r="8255" b="0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71564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6.3pt;height:50.7pt;" stroked="f" strokeweight="0.75pt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ind w:left="280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культуры и молодежной политики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</w:t>
      </w:r>
      <w:r/>
    </w:p>
    <w:p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ПРИКАЗ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______20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 Ставрополь                        № ________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tabs>
          <w:tab w:val="left" w:pos="6660" w:leader="none"/>
          <w:tab w:val="left" w:pos="7088" w:leader="none"/>
        </w:tabs>
      </w:pPr>
      <w:r/>
      <w:r/>
    </w:p>
    <w:p>
      <w:pPr>
        <w:jc w:val="right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1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Порядка выполнения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Содержание (эксплуатация) имущества, находящегося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оказыва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учреждениями, подведомственными комитету культуры и молодежной политики администрации города Ставрополя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/>
    </w:p>
    <w:p>
      <w:pPr>
        <w:pStyle w:val="710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0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5"/>
        <w:contextualSpacing/>
        <w:ind w:firstLine="708"/>
        <w:jc w:val="both"/>
        <w:spacing w:before="0" w:beforeAutospacing="0" w:after="0" w:afterAutospacing="0"/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Федеральным законом от 06 октября 2003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г. </w:t>
      </w:r>
      <w:r>
        <w:rPr>
          <w:b w:val="0"/>
          <w:sz w:val="28"/>
          <w:szCs w:val="28"/>
        </w:rPr>
        <w:t xml:space="preserve">№</w:t>
      </w:r>
      <w:r>
        <w:rPr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69.2 Бюджетного кодекса Российской Федерации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постановлением Правительства Ставропольского края от 28.11.2017 </w:t>
      </w:r>
      <w:r>
        <w:rPr>
          <w:b w:val="0"/>
          <w:sz w:val="28"/>
          <w:szCs w:val="28"/>
        </w:rPr>
        <w:t xml:space="preserve">№</w:t>
      </w:r>
      <w:r>
        <w:rPr>
          <w:b w:val="0"/>
          <w:sz w:val="28"/>
          <w:szCs w:val="28"/>
        </w:rPr>
        <w:t xml:space="preserve"> 469-п «</w:t>
      </w:r>
      <w:r>
        <w:rPr>
          <w:b w:val="0"/>
          <w:sz w:val="28"/>
          <w:szCs w:val="28"/>
        </w:rPr>
        <w:t xml:space="preserve">Об утверждении Поря</w:t>
      </w:r>
      <w:r>
        <w:rPr>
          <w:b w:val="0"/>
          <w:sz w:val="28"/>
          <w:szCs w:val="28"/>
        </w:rPr>
        <w:t xml:space="preserve">дка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лицам, и работ, оказание и выполнение которых предусмотрено нормативными правовыми актами Ставропольского края (муниципальными правовыми актами Ставропольского края), в том числе при осуществлении </w:t>
      </w:r>
      <w:r>
        <w:rPr>
          <w:b w:val="0"/>
          <w:sz w:val="28"/>
          <w:szCs w:val="28"/>
        </w:rPr>
        <w:t xml:space="preserve">при осуществлении переданных органам государственной власти субъектов Российской Федерации (органам местного самоуправления) полномочий Российской Федерации и полномочий по предметам совместного ведения Российской Федерации и субъектов Российской Федерации</w:t>
      </w:r>
      <w:r>
        <w:rPr>
          <w:b w:val="0"/>
          <w:sz w:val="28"/>
          <w:szCs w:val="28"/>
        </w:rPr>
        <w:t xml:space="preserve">»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и </w:t>
      </w:r>
      <w:r>
        <w:rPr>
          <w:b w:val="0"/>
          <w:sz w:val="28"/>
          <w:szCs w:val="28"/>
        </w:rPr>
        <w:t xml:space="preserve">в целях </w:t>
      </w:r>
      <w:r>
        <w:rPr>
          <w:b w:val="0"/>
          <w:sz w:val="28"/>
          <w:szCs w:val="28"/>
        </w:rPr>
        <w:t xml:space="preserve">выполнения работ</w:t>
      </w:r>
      <w:r>
        <w:rPr>
          <w:b w:val="0"/>
          <w:sz w:val="28"/>
          <w:szCs w:val="28"/>
        </w:rPr>
        <w:t xml:space="preserve">ы</w:t>
      </w:r>
      <w:r>
        <w:rPr>
          <w:b w:val="0"/>
          <w:sz w:val="28"/>
          <w:szCs w:val="28"/>
        </w:rPr>
        <w:t xml:space="preserve"> по содержанию (эксплуатации) имущества, находящегося</w:t>
      </w:r>
      <w:r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</w:rPr>
        <w:t xml:space="preserve">государственной (</w:t>
      </w:r>
      <w:r>
        <w:rPr>
          <w:b w:val="0"/>
          <w:sz w:val="28"/>
          <w:szCs w:val="28"/>
        </w:rPr>
        <w:t xml:space="preserve">муниципальной</w:t>
      </w:r>
      <w:r>
        <w:rPr>
          <w:b w:val="0"/>
          <w:sz w:val="28"/>
          <w:szCs w:val="28"/>
        </w:rPr>
        <w:t xml:space="preserve">)</w:t>
      </w:r>
      <w:r>
        <w:rPr>
          <w:b w:val="0"/>
          <w:sz w:val="28"/>
          <w:szCs w:val="28"/>
        </w:rPr>
        <w:t xml:space="preserve"> собственн</w:t>
      </w:r>
      <w:r>
        <w:rPr>
          <w:b w:val="0"/>
          <w:sz w:val="28"/>
          <w:szCs w:val="28"/>
        </w:rPr>
        <w:t xml:space="preserve">о</w:t>
      </w:r>
      <w:r>
        <w:rPr>
          <w:b w:val="0"/>
          <w:sz w:val="28"/>
          <w:szCs w:val="28"/>
        </w:rPr>
        <w:t xml:space="preserve">сти,</w:t>
      </w:r>
      <w:r>
        <w:rPr>
          <w:b w:val="0"/>
          <w:sz w:val="28"/>
          <w:szCs w:val="28"/>
        </w:rPr>
        <w:t xml:space="preserve"> оказываем</w:t>
      </w:r>
      <w:r>
        <w:rPr>
          <w:b w:val="0"/>
          <w:sz w:val="28"/>
          <w:szCs w:val="28"/>
        </w:rPr>
        <w:t xml:space="preserve">ой</w:t>
      </w:r>
      <w:r>
        <w:rPr>
          <w:b w:val="0"/>
          <w:sz w:val="28"/>
          <w:szCs w:val="28"/>
        </w:rPr>
        <w:t xml:space="preserve"> муниципальными учреждениями</w:t>
      </w:r>
      <w:r>
        <w:rPr>
          <w:b w:val="0"/>
          <w:sz w:val="28"/>
          <w:szCs w:val="28"/>
        </w:rPr>
        <w:t xml:space="preserve">,</w:t>
      </w:r>
      <w:r>
        <w:rPr>
          <w:b w:val="0"/>
          <w:sz w:val="28"/>
          <w:szCs w:val="28"/>
        </w:rPr>
        <w:t xml:space="preserve"> подведомственными комитету культуры и молодежной политики администрации города Ставрополя</w:t>
      </w:r>
      <w:r/>
    </w:p>
    <w:p>
      <w:pPr>
        <w:pStyle w:val="710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0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0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</w:t>
      </w:r>
      <w:r/>
    </w:p>
    <w:p>
      <w:pPr>
        <w:pStyle w:val="710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Содержание (эксплуатация) имущества, находящегося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оказываемой муниципальными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учреждениями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подведомственными комитету  культуры и молодежной политики администрации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/>
    </w:p>
    <w:p>
      <w:pPr>
        <w:pStyle w:val="7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официального опубликования в газете «Вечерний Ставрополь».</w:t>
      </w:r>
      <w:r/>
    </w:p>
    <w:p>
      <w:pPr>
        <w:pStyle w:val="7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астоящ</w:t>
      </w:r>
      <w:r>
        <w:rPr>
          <w:rFonts w:ascii="Times New Roman" w:hAnsi="Times New Roman" w:cs="Times New Roman"/>
          <w:sz w:val="28"/>
          <w:szCs w:val="28"/>
        </w:rPr>
        <w:t xml:space="preserve"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Ставрополя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Контроль исполнения настоящего п</w:t>
      </w:r>
      <w:r>
        <w:rPr>
          <w:sz w:val="28"/>
          <w:szCs w:val="28"/>
        </w:rPr>
        <w:t xml:space="preserve">риказа</w:t>
      </w:r>
      <w:r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 xml:space="preserve">.</w:t>
      </w:r>
      <w:r/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</w:t>
      </w:r>
      <w:r>
        <w:rPr>
          <w:sz w:val="28"/>
          <w:szCs w:val="28"/>
        </w:rPr>
        <w:t xml:space="preserve"> культуры </w:t>
      </w:r>
      <w:r/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</w:t>
      </w:r>
      <w:r/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</w:t>
      </w:r>
      <w:r>
        <w:rPr>
          <w:sz w:val="28"/>
          <w:szCs w:val="28"/>
        </w:rPr>
        <w:t xml:space="preserve">                                           Н.П. Головин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1"/>
        <w:ind w:left="4395" w:hanging="147"/>
        <w:spacing w:line="26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</w:t>
      </w:r>
      <w:r/>
    </w:p>
    <w:p>
      <w:pPr>
        <w:pStyle w:val="711"/>
        <w:ind w:left="4820"/>
        <w:spacing w:line="26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Приказом комитета культуры  и                   молодежной политики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города Ставрополя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/>
    </w:p>
    <w:p>
      <w:pPr>
        <w:pStyle w:val="711"/>
        <w:spacing w:line="260" w:lineRule="exact"/>
        <w:tabs>
          <w:tab w:val="center" w:pos="7084" w:leader="none"/>
          <w:tab w:val="left" w:pos="8100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«__»_________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……..</w:t>
      </w:r>
      <w:r/>
    </w:p>
    <w:p>
      <w:pPr>
        <w:pStyle w:val="711"/>
        <w:jc w:val="center"/>
        <w:spacing w:line="26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711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711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</w:t>
      </w:r>
      <w:r/>
    </w:p>
    <w:p>
      <w:pPr>
        <w:pStyle w:val="711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7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Содержание (эксплуатация) имущества, находящегося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оказываемой муниципальными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учреждениями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подведомственными комитету культуры и молодежной политики администрации города Ставрополя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/>
    </w:p>
    <w:p>
      <w:pPr>
        <w:pStyle w:val="7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2"/>
        <w:contextualSpacing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Общие положения</w:t>
      </w:r>
      <w:r/>
    </w:p>
    <w:p>
      <w:pPr>
        <w:pStyle w:val="711"/>
        <w:contextualSpacing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Содержание (эксплуатация) имущества, находящегося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оказываемой муниципальными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учреждениями, подведомственными комитету культуры и молодежной политики администрации города Ставрополя (далее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определяет механизм выполнения муниципальной работы «Содержание (эксплуатация) имущества, находящегося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собственности»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работа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рамках выполнения муниципального задания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/>
    </w:p>
    <w:p>
      <w:pPr>
        <w:pStyle w:val="712"/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Область применения </w:t>
      </w:r>
      <w:r>
        <w:rPr>
          <w:rFonts w:ascii="Times New Roman" w:hAnsi="Times New Roman" w:cs="Times New Roman"/>
          <w:sz w:val="28"/>
          <w:szCs w:val="28"/>
        </w:rPr>
        <w:t xml:space="preserve">Порядка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712"/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бюджетные и автономные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подведомственные комитету культуры молодежной политики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(далее – Учреждения), выполняющие 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работу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. Реквизиты актов, являющихся основанием для формирования Порядка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Перечень правовых актов и документов, в 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которыми, осуществляется выполнение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униципальной работы</w:t>
      </w:r>
      <w:r>
        <w:rPr>
          <w:sz w:val="28"/>
          <w:szCs w:val="28"/>
        </w:rPr>
        <w:t xml:space="preserve">:</w:t>
      </w:r>
      <w:r/>
    </w:p>
    <w:p>
      <w:pPr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Конституция Российской Федерации</w:t>
      </w:r>
      <w:r>
        <w:rPr>
          <w:sz w:val="28"/>
          <w:szCs w:val="28"/>
        </w:rPr>
        <w:t xml:space="preserve">;</w:t>
      </w:r>
      <w:r/>
    </w:p>
    <w:p>
      <w:pPr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Бюджетный кодекс Российской Федера</w:t>
      </w:r>
      <w:r>
        <w:rPr>
          <w:sz w:val="28"/>
          <w:szCs w:val="28"/>
        </w:rPr>
        <w:t xml:space="preserve">ции</w:t>
      </w:r>
      <w:r/>
    </w:p>
    <w:p>
      <w:pPr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Федеральный закон от 06.10.2003 № 131-ФЗ «Об общих принципах организации местного самоуправления в Российской Федерации»;</w:t>
      </w:r>
      <w:r/>
    </w:p>
    <w:p>
      <w:pPr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Федеральный закон от 30.03.1999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 № 52-ФЗ «О санитарно-эпидемиологическо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благополучи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населения»;</w:t>
      </w:r>
      <w:r/>
    </w:p>
    <w:p>
      <w:pPr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Федеральный закон от 21.11.2011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323-ФЗ «Об основах охраны здоровья граждан в Российской Федерации»;</w:t>
      </w:r>
      <w:r/>
    </w:p>
    <w:p>
      <w:pPr>
        <w:pStyle w:val="705"/>
        <w:contextualSpacing/>
        <w:ind w:firstLine="708"/>
        <w:jc w:val="both"/>
        <w:spacing w:before="0" w:beforeAutospacing="0" w:after="0" w:afterAutospacing="0"/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6) </w:t>
      </w:r>
      <w:r>
        <w:rPr>
          <w:b w:val="0"/>
          <w:sz w:val="28"/>
          <w:szCs w:val="28"/>
        </w:rPr>
        <w:t xml:space="preserve">Постановление Правительства Ставропольского края от 28.11.2017 </w:t>
      </w:r>
      <w:r>
        <w:rPr>
          <w:b w:val="0"/>
          <w:sz w:val="28"/>
          <w:szCs w:val="28"/>
        </w:rPr>
        <w:t xml:space="preserve">      №</w:t>
      </w:r>
      <w:r>
        <w:rPr>
          <w:b w:val="0"/>
          <w:sz w:val="28"/>
          <w:szCs w:val="28"/>
        </w:rPr>
        <w:t xml:space="preserve"> 469-п «</w:t>
      </w:r>
      <w:r>
        <w:rPr>
          <w:b w:val="0"/>
          <w:sz w:val="28"/>
          <w:szCs w:val="28"/>
        </w:rPr>
        <w:t xml:space="preserve">Об утверждении Порядка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</w:t>
      </w:r>
      <w:r>
        <w:rPr>
          <w:b w:val="0"/>
          <w:sz w:val="28"/>
          <w:szCs w:val="28"/>
        </w:rPr>
        <w:t xml:space="preserve">(классификаторы) гос</w:t>
      </w:r>
      <w:r>
        <w:rPr>
          <w:b w:val="0"/>
          <w:sz w:val="28"/>
          <w:szCs w:val="28"/>
        </w:rPr>
        <w:t xml:space="preserve">ударственных и муниципальных услуг, оказываемых физическим лицам, и работ, оказание и выполнение которых предусмотрено нормативными правовыми актами Ставропольского края (муниципальными правовыми актами Ставропольского края), в том числе при осуществлении </w:t>
      </w:r>
      <w:r>
        <w:rPr>
          <w:b w:val="0"/>
          <w:sz w:val="28"/>
          <w:szCs w:val="28"/>
        </w:rPr>
        <w:t xml:space="preserve">переданных органам</w:t>
      </w:r>
      <w:r>
        <w:rPr>
          <w:b w:val="0"/>
          <w:sz w:val="28"/>
          <w:szCs w:val="28"/>
        </w:rPr>
        <w:t xml:space="preserve"> государственной власти субъектов Российской Федерации (органам местного самоуправления) полномочий Российской Федерации и полномочий по предметам совместного ведения Российской Федера</w:t>
      </w:r>
      <w:r>
        <w:rPr>
          <w:b w:val="0"/>
          <w:sz w:val="28"/>
          <w:szCs w:val="28"/>
        </w:rPr>
        <w:t xml:space="preserve">ц</w:t>
      </w:r>
      <w:r>
        <w:rPr>
          <w:b w:val="0"/>
          <w:sz w:val="28"/>
          <w:szCs w:val="28"/>
        </w:rPr>
        <w:t xml:space="preserve">ии и субъектов Российской Федерации</w:t>
      </w:r>
      <w:r>
        <w:rPr>
          <w:b w:val="0"/>
          <w:sz w:val="28"/>
          <w:szCs w:val="28"/>
        </w:rPr>
        <w:t xml:space="preserve">»</w:t>
      </w:r>
      <w:r>
        <w:rPr>
          <w:b w:val="0"/>
          <w:sz w:val="28"/>
          <w:szCs w:val="28"/>
        </w:rPr>
        <w:t xml:space="preserve">;</w:t>
      </w:r>
      <w:r/>
    </w:p>
    <w:p>
      <w:pPr>
        <w:pStyle w:val="705"/>
        <w:contextualSpacing/>
        <w:ind w:firstLine="708"/>
        <w:jc w:val="both"/>
        <w:spacing w:before="0" w:beforeAutospacing="0" w:after="0" w:afterAutospacing="0"/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</w:t>
      </w:r>
      <w:r>
        <w:rPr>
          <w:b w:val="0"/>
          <w:sz w:val="28"/>
          <w:szCs w:val="28"/>
        </w:rPr>
        <w:t xml:space="preserve">) </w:t>
      </w:r>
      <w:r>
        <w:rPr>
          <w:b w:val="0"/>
          <w:sz w:val="28"/>
          <w:szCs w:val="28"/>
        </w:rPr>
        <w:t xml:space="preserve">п</w:t>
      </w:r>
      <w:r>
        <w:rPr>
          <w:b w:val="0"/>
          <w:sz w:val="28"/>
          <w:szCs w:val="28"/>
        </w:rPr>
        <w:t xml:space="preserve">остановление администрации города Ставрополя                                           от 02.02.2016 № 207 «О комитете культуры и молодежной политики администрации города Ставрополя»;</w:t>
      </w:r>
      <w:r/>
    </w:p>
    <w:p>
      <w:pPr>
        <w:contextualSpacing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остановление администрации г</w:t>
      </w:r>
      <w:r>
        <w:rPr>
          <w:sz w:val="28"/>
          <w:szCs w:val="28"/>
        </w:rPr>
        <w:t xml:space="preserve">орода</w:t>
      </w:r>
      <w:r>
        <w:rPr>
          <w:sz w:val="28"/>
          <w:szCs w:val="28"/>
        </w:rPr>
        <w:t xml:space="preserve"> Ставрополя от 06.07.2016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1479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  <w:t xml:space="preserve"> </w:t>
      </w:r>
      <w:r/>
    </w:p>
    <w:p>
      <w:pPr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) 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ные нормативные правовые акты Российской Федерации, Ставропольского края, </w:t>
      </w:r>
      <w:r>
        <w:rPr>
          <w:sz w:val="28"/>
          <w:szCs w:val="28"/>
        </w:rPr>
        <w:t xml:space="preserve">муниципальные правовые акты </w:t>
      </w:r>
      <w:r>
        <w:rPr>
          <w:sz w:val="28"/>
          <w:szCs w:val="28"/>
        </w:rPr>
        <w:t xml:space="preserve">города Ставрополя, устанавливающие требования к организации благоустройства.</w:t>
      </w:r>
      <w:r/>
    </w:p>
    <w:p>
      <w:pPr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. Содержание Муниципальной работы.</w:t>
      </w:r>
      <w:r/>
    </w:p>
    <w:p>
      <w:pPr>
        <w:contextualSpacing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1"/>
        <w:contextualSpacing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Содержание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униципальной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оказываемой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Учреждениями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/>
    </w:p>
    <w:p>
      <w:pPr>
        <w:contextualSpacing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содержанию (эксплуатации) имущества, находящегося в </w:t>
      </w:r>
      <w:r>
        <w:rPr>
          <w:sz w:val="28"/>
          <w:szCs w:val="28"/>
        </w:rPr>
        <w:t xml:space="preserve">государственной (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включает в себя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беспечение эксплуатационно-техническо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и</w:t>
      </w:r>
      <w:r>
        <w:rPr>
          <w:sz w:val="28"/>
          <w:szCs w:val="28"/>
        </w:rPr>
        <w:t xml:space="preserve"> помещений,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содержание указанных объектов и помещений, оборудования и прилегающей территории </w:t>
      </w:r>
      <w:r>
        <w:rPr>
          <w:sz w:val="28"/>
          <w:szCs w:val="28"/>
        </w:rPr>
        <w:t xml:space="preserve">в надлежащем состоянии</w:t>
      </w:r>
      <w:r>
        <w:rPr>
          <w:sz w:val="28"/>
          <w:szCs w:val="28"/>
        </w:rPr>
        <w:t xml:space="preserve">.</w:t>
      </w:r>
      <w:r/>
    </w:p>
    <w:p>
      <w:pPr>
        <w:pStyle w:val="711"/>
        <w:contextualSpacing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Мероприятия,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проводимые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содержани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(эксплуатации) имущества, находящегося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</w:t>
      </w:r>
      <w:r/>
    </w:p>
    <w:p>
      <w:pPr>
        <w:pStyle w:val="711"/>
        <w:contextualSpacing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содержание зданий,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помещений, сооружений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том числе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инженерных систем,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технических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исправном состоянии; </w:t>
      </w:r>
      <w:r/>
    </w:p>
    <w:p>
      <w:pPr>
        <w:pStyle w:val="711"/>
        <w:contextualSpacing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приобретение материальных запасов;</w:t>
      </w:r>
      <w:r/>
    </w:p>
    <w:p>
      <w:pPr>
        <w:pStyle w:val="711"/>
        <w:contextualSpacing/>
        <w:ind w:left="72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содержание и уход за элемента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ми озеленения и благоустройства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расположенными на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прилегающей территории;</w:t>
      </w:r>
      <w:r/>
    </w:p>
    <w:p>
      <w:pPr>
        <w:pStyle w:val="711"/>
        <w:contextualSpacing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зданий, помещений, сооружений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санитарн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- эпидемиологических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</w:t>
      </w:r>
      <w:r/>
    </w:p>
    <w:p>
      <w:pPr>
        <w:pStyle w:val="711"/>
        <w:contextualSpacing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дезинфекция, дезинсекция и дератизация мест общего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пользования;</w:t>
      </w:r>
      <w:r/>
    </w:p>
    <w:p>
      <w:pPr>
        <w:pStyle w:val="711"/>
        <w:contextualSpacing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сбор и вывоз твердых и (или) жидких отходов;</w:t>
      </w:r>
      <w:r/>
    </w:p>
    <w:p>
      <w:pPr>
        <w:pStyle w:val="711"/>
        <w:contextualSpacing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обрезка деревьев и уход за элементами озеленения;</w:t>
      </w:r>
      <w:r/>
    </w:p>
    <w:p>
      <w:pPr>
        <w:pStyle w:val="711"/>
        <w:contextualSpacing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уборка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снега и льда с подъездных путей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прилегающей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</w:t>
      </w:r>
      <w:r/>
    </w:p>
    <w:p>
      <w:pPr>
        <w:pStyle w:val="711"/>
        <w:contextualSpacing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подсыпка прилегающей территории песком.</w:t>
      </w:r>
      <w:r/>
    </w:p>
    <w:p>
      <w:pPr>
        <w:pStyle w:val="713"/>
        <w:contextualSpacing/>
        <w:ind w:firstLine="709"/>
        <w:jc w:val="both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процедурам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работы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</w:t>
      </w:r>
      <w:r>
        <w:rPr>
          <w:rFonts w:ascii="Times New Roman" w:hAnsi="Times New Roman" w:cs="Times New Roman"/>
          <w:sz w:val="28"/>
          <w:szCs w:val="28"/>
        </w:rPr>
        <w:t xml:space="preserve"> работ определен в соответствии с муниципальным заданием.</w:t>
      </w:r>
      <w:r/>
    </w:p>
    <w:p>
      <w:pPr>
        <w:pStyle w:val="711"/>
        <w:contextualSpacing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объема выполненной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работы и единица измерения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</w:t>
      </w:r>
      <w:r/>
    </w:p>
    <w:p>
      <w:pPr>
        <w:pStyle w:val="71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площадь объектов и прилегающей территории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квадратный метр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).</w:t>
      </w:r>
      <w:r/>
    </w:p>
    <w:p>
      <w:pPr>
        <w:pStyle w:val="711"/>
        <w:contextualSpacing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Показатели качества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работы и единицы измерения:</w:t>
      </w:r>
      <w:r/>
    </w:p>
    <w:p>
      <w:pPr>
        <w:pStyle w:val="71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выполненных в полном объеме работ по текущему содержанию в соответствии с установленными сроками и требованиями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(процент);</w:t>
      </w:r>
      <w:r/>
    </w:p>
    <w:p>
      <w:pPr>
        <w:pStyle w:val="71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содержание 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ъектов недвижимого имущества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надлежащем санитарном состоянии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(процент).</w:t>
      </w:r>
      <w:r/>
    </w:p>
    <w:p>
      <w:pPr>
        <w:pStyle w:val="71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9.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Форма оказания услуг: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постоянно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widowControl w:val="off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Муниципальная работа </w:t>
      </w:r>
      <w:r>
        <w:rPr>
          <w:sz w:val="28"/>
          <w:szCs w:val="28"/>
        </w:rPr>
        <w:t xml:space="preserve">осуществляется на безвозмездной основе.</w:t>
      </w:r>
      <w:r/>
    </w:p>
    <w:p>
      <w:pPr>
        <w:pStyle w:val="713"/>
        <w:ind w:firstLine="709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</w:t>
      </w:r>
      <w:r>
        <w:rPr>
          <w:rFonts w:ascii="Times New Roman" w:hAnsi="Times New Roman" w:cs="Times New Roman"/>
          <w:sz w:val="28"/>
          <w:szCs w:val="28"/>
        </w:rPr>
        <w:t xml:space="preserve"> Порядок контрол</w:t>
      </w:r>
      <w:r>
        <w:rPr>
          <w:rFonts w:ascii="Times New Roman" w:hAnsi="Times New Roman" w:cs="Times New Roman"/>
          <w:sz w:val="28"/>
          <w:szCs w:val="28"/>
        </w:rPr>
        <w:t xml:space="preserve">я качества 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работы.</w:t>
      </w:r>
      <w:r/>
    </w:p>
    <w:p>
      <w:pPr>
        <w:ind w:firstLine="709"/>
        <w:jc w:val="both"/>
        <w:widowControl w:val="off"/>
        <w:tabs>
          <w:tab w:val="left" w:pos="709" w:leader="none"/>
          <w:tab w:val="left" w:pos="851" w:leader="none"/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существляется посредством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нутренн</w:t>
      </w:r>
      <w:r>
        <w:rPr>
          <w:color w:val="000000"/>
          <w:sz w:val="28"/>
          <w:szCs w:val="28"/>
        </w:rPr>
        <w:t xml:space="preserve">его контроля</w:t>
      </w:r>
      <w:r>
        <w:rPr>
          <w:color w:val="000000"/>
          <w:sz w:val="28"/>
          <w:szCs w:val="28"/>
        </w:rPr>
        <w:t xml:space="preserve"> руководителем </w:t>
      </w:r>
      <w:r>
        <w:rPr>
          <w:color w:val="000000"/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</w:t>
      </w:r>
      <w:r>
        <w:rPr>
          <w:color w:val="000000"/>
          <w:sz w:val="28"/>
          <w:szCs w:val="28"/>
        </w:rPr>
        <w:t xml:space="preserve">. </w:t>
      </w:r>
      <w:r/>
    </w:p>
    <w:p>
      <w:pPr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 несет персональную ответственность                        за организацию выполнения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униципальной работы, определяет полномочия, ответственность и порядок взаимодействия </w:t>
      </w:r>
      <w:r>
        <w:rPr>
          <w:sz w:val="28"/>
          <w:szCs w:val="28"/>
        </w:rPr>
        <w:t xml:space="preserve">работников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 и юридических лиц при выполнении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униципальной работы.</w:t>
      </w:r>
      <w:r/>
    </w:p>
    <w:p>
      <w:pPr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.Категория потребителей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униципальной работы.</w:t>
      </w:r>
      <w:r/>
    </w:p>
    <w:p>
      <w:pPr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Потенциальным потребител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униципальной работы явля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тся: общество в цело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.</w:t>
      </w:r>
      <w:r/>
    </w:p>
    <w:p>
      <w:pPr>
        <w:pStyle w:val="712"/>
        <w:contextualSpacing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работы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contextualSpacing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затрат (нормативных затрат) на выполнение работы утверждаются</w:t>
      </w:r>
      <w:r>
        <w:rPr>
          <w:sz w:val="28"/>
          <w:szCs w:val="28"/>
        </w:rPr>
        <w:t xml:space="preserve"> приказом руководителя</w:t>
      </w:r>
      <w:r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культуры и молодежной политики администрации города Ставрополя. </w:t>
      </w:r>
      <w:r>
        <w:rPr>
          <w:sz w:val="28"/>
          <w:szCs w:val="28"/>
        </w:rPr>
        <w:t xml:space="preserve">При определении нормативных затрат на выполнение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работы применяются показатели материальных,</w:t>
      </w:r>
      <w:r>
        <w:rPr>
          <w:sz w:val="28"/>
          <w:szCs w:val="28"/>
        </w:rPr>
        <w:t xml:space="preserve"> технических и трудовых ресурсо</w:t>
      </w:r>
      <w:r>
        <w:rPr>
          <w:sz w:val="28"/>
          <w:szCs w:val="28"/>
        </w:rPr>
        <w:t xml:space="preserve">в, используемых для выполнения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работы, по видам затрат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исходя их нормативов их потребления</w:t>
      </w:r>
      <w:r>
        <w:rPr>
          <w:sz w:val="28"/>
          <w:szCs w:val="28"/>
        </w:rPr>
        <w:t xml:space="preserve">, установленных нормативными правовыми стандартами Российской Федерации, национальными (государственными стандартами Российской Федерации,</w:t>
      </w:r>
      <w:r>
        <w:rPr>
          <w:sz w:val="28"/>
          <w:szCs w:val="28"/>
        </w:rPr>
        <w:t xml:space="preserve"> муниципальными правовыми актами города Ставрополя, </w:t>
      </w:r>
      <w:r>
        <w:rPr>
          <w:sz w:val="28"/>
          <w:szCs w:val="28"/>
        </w:rPr>
        <w:t xml:space="preserve">строительными нормами и правилами, санитарными нормами и правилами, стандартами, порядками выполнения работ, или на основании усреднения</w:t>
      </w:r>
      <w:r>
        <w:rPr>
          <w:sz w:val="28"/>
          <w:szCs w:val="28"/>
        </w:rPr>
        <w:t xml:space="preserve"> показателей деятельности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чреждения, которое имеет минимальный объем указанных затрат на выполнение работы или на основании  медианного значения по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чреждениям, выполняющим работу.</w:t>
      </w:r>
      <w:r/>
    </w:p>
    <w:p>
      <w:pPr>
        <w:pStyle w:val="713"/>
        <w:contextualSpacing/>
        <w:ind w:firstLine="709"/>
        <w:jc w:val="center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3"/>
        <w:contextualSpacing/>
        <w:ind w:firstLine="709"/>
        <w:jc w:val="center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3"/>
        <w:contextualSpacing/>
        <w:ind w:firstLine="709"/>
        <w:jc w:val="center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3"/>
        <w:contextualSpacing/>
        <w:ind w:firstLine="709"/>
        <w:jc w:val="center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3"/>
        <w:contextualSpacing/>
        <w:ind w:firstLine="709"/>
        <w:jc w:val="center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3"/>
        <w:contextualSpacing/>
        <w:ind w:firstLine="709"/>
        <w:jc w:val="center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3"/>
        <w:contextualSpacing/>
        <w:ind w:firstLine="709"/>
        <w:jc w:val="center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3"/>
        <w:contextualSpacing/>
        <w:ind w:firstLine="709"/>
        <w:jc w:val="center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3"/>
        <w:contextualSpacing/>
        <w:ind w:firstLine="709"/>
        <w:jc w:val="center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1215786"/>
      <w:docPartObj>
        <w:docPartGallery w:val="Page Numbers (Top of Page)"/>
        <w:docPartUnique w:val="true"/>
      </w:docPartObj>
      <w:rPr/>
    </w:sdtPr>
    <w:sdtContent>
      <w:p>
        <w:pPr>
          <w:pStyle w:val="715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715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rPr>
        <w:rStyle w:val="717"/>
      </w:rPr>
      <w:framePr w:wrap="around" w:vAnchor="text" w:hAnchor="margin" w:xAlign="center" w:y="1"/>
    </w:pPr>
    <w:r>
      <w:rPr>
        <w:rStyle w:val="717"/>
      </w:rPr>
      <w:fldChar w:fldCharType="begin"/>
    </w:r>
    <w:r>
      <w:rPr>
        <w:rStyle w:val="717"/>
      </w:rPr>
      <w:instrText xml:space="preserve">PAGE  </w:instrText>
    </w:r>
    <w:r>
      <w:rPr>
        <w:rStyle w:val="717"/>
      </w:rPr>
      <w:fldChar w:fldCharType="end"/>
    </w:r>
    <w:r/>
  </w:p>
  <w:p>
    <w:pPr>
      <w:pStyle w:val="71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  <w:p>
    <w:pPr>
      <w:pStyle w:val="7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5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1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7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825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04"/>
    <w:next w:val="70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707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07"/>
    <w:link w:val="70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07"/>
    <w:link w:val="706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04"/>
    <w:next w:val="70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0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04"/>
    <w:next w:val="70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0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04"/>
    <w:next w:val="70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0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04"/>
    <w:next w:val="70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0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04"/>
    <w:next w:val="70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0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04"/>
    <w:next w:val="70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0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04"/>
    <w:next w:val="70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07"/>
    <w:link w:val="32"/>
    <w:uiPriority w:val="10"/>
    <w:rPr>
      <w:sz w:val="48"/>
      <w:szCs w:val="48"/>
    </w:rPr>
  </w:style>
  <w:style w:type="paragraph" w:styleId="34">
    <w:name w:val="Subtitle"/>
    <w:basedOn w:val="704"/>
    <w:next w:val="70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07"/>
    <w:link w:val="34"/>
    <w:uiPriority w:val="11"/>
    <w:rPr>
      <w:sz w:val="24"/>
      <w:szCs w:val="24"/>
    </w:rPr>
  </w:style>
  <w:style w:type="paragraph" w:styleId="36">
    <w:name w:val="Quote"/>
    <w:basedOn w:val="704"/>
    <w:next w:val="70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04"/>
    <w:next w:val="70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07"/>
    <w:link w:val="715"/>
    <w:uiPriority w:val="99"/>
  </w:style>
  <w:style w:type="character" w:styleId="43">
    <w:name w:val="Footer Char"/>
    <w:basedOn w:val="707"/>
    <w:link w:val="722"/>
    <w:uiPriority w:val="99"/>
  </w:style>
  <w:style w:type="paragraph" w:styleId="44">
    <w:name w:val="Caption"/>
    <w:basedOn w:val="704"/>
    <w:next w:val="7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22"/>
    <w:uiPriority w:val="99"/>
  </w:style>
  <w:style w:type="table" w:styleId="46">
    <w:name w:val="Table Grid"/>
    <w:basedOn w:val="70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0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07"/>
    <w:uiPriority w:val="99"/>
    <w:unhideWhenUsed/>
    <w:rPr>
      <w:vertAlign w:val="superscript"/>
    </w:rPr>
  </w:style>
  <w:style w:type="paragraph" w:styleId="176">
    <w:name w:val="endnote text"/>
    <w:basedOn w:val="70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07"/>
    <w:uiPriority w:val="99"/>
    <w:semiHidden/>
    <w:unhideWhenUsed/>
    <w:rPr>
      <w:vertAlign w:val="superscript"/>
    </w:rPr>
  </w:style>
  <w:style w:type="paragraph" w:styleId="179">
    <w:name w:val="toc 1"/>
    <w:basedOn w:val="704"/>
    <w:next w:val="7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04"/>
    <w:next w:val="7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04"/>
    <w:next w:val="7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04"/>
    <w:next w:val="7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04"/>
    <w:next w:val="7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04"/>
    <w:next w:val="7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04"/>
    <w:next w:val="7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04"/>
    <w:next w:val="7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04"/>
    <w:next w:val="7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04"/>
    <w:next w:val="704"/>
    <w:uiPriority w:val="99"/>
    <w:unhideWhenUsed/>
    <w:pPr>
      <w:spacing w:after="0" w:afterAutospacing="0"/>
    </w:pPr>
  </w:style>
  <w:style w:type="paragraph" w:styleId="704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705">
    <w:name w:val="Heading 2"/>
    <w:basedOn w:val="704"/>
    <w:link w:val="721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06">
    <w:name w:val="Heading 3"/>
    <w:basedOn w:val="704"/>
    <w:next w:val="704"/>
    <w:link w:val="725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paragraph" w:styleId="710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711" w:customStyle="1">
    <w:name w:val="ConsPlusTitle"/>
    <w:uiPriority w:val="99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  <w:lang w:eastAsia="ru-RU"/>
    </w:rPr>
  </w:style>
  <w:style w:type="paragraph" w:styleId="712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713">
    <w:name w:val="HTML Preformatted"/>
    <w:basedOn w:val="704"/>
    <w:link w:val="714"/>
    <w:uiPriority w:val="9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character" w:styleId="714" w:customStyle="1">
    <w:name w:val="Стандартный HTML Знак"/>
    <w:basedOn w:val="707"/>
    <w:link w:val="713"/>
    <w:uiPriority w:val="99"/>
    <w:rPr>
      <w:rFonts w:ascii="Courier New" w:hAnsi="Courier New" w:cs="Courier New" w:eastAsia="Times New Roman"/>
      <w:sz w:val="20"/>
      <w:szCs w:val="20"/>
      <w:lang w:eastAsia="ru-RU"/>
    </w:rPr>
  </w:style>
  <w:style w:type="paragraph" w:styleId="715">
    <w:name w:val="Header"/>
    <w:basedOn w:val="704"/>
    <w:link w:val="716"/>
    <w:uiPriority w:val="99"/>
    <w:pPr>
      <w:tabs>
        <w:tab w:val="center" w:pos="4677" w:leader="none"/>
        <w:tab w:val="right" w:pos="9355" w:leader="none"/>
      </w:tabs>
    </w:pPr>
  </w:style>
  <w:style w:type="character" w:styleId="716" w:customStyle="1">
    <w:name w:val="Верхний колонтитул Знак"/>
    <w:basedOn w:val="707"/>
    <w:link w:val="715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717">
    <w:name w:val="page number"/>
    <w:basedOn w:val="707"/>
    <w:uiPriority w:val="99"/>
    <w:rPr>
      <w:rFonts w:cs="Times New Roman"/>
    </w:rPr>
  </w:style>
  <w:style w:type="paragraph" w:styleId="718">
    <w:name w:val="List Paragraph"/>
    <w:basedOn w:val="704"/>
    <w:uiPriority w:val="34"/>
    <w:qFormat/>
    <w:pPr>
      <w:contextualSpacing/>
      <w:ind w:left="720"/>
    </w:pPr>
  </w:style>
  <w:style w:type="paragraph" w:styleId="719">
    <w:name w:val="Balloon Text"/>
    <w:basedOn w:val="704"/>
    <w:link w:val="720"/>
    <w:uiPriority w:val="99"/>
    <w:semiHidden/>
    <w:unhideWhenUsed/>
    <w:rPr>
      <w:rFonts w:ascii="Tahoma" w:hAnsi="Tahoma" w:cs="Tahoma"/>
      <w:sz w:val="16"/>
      <w:szCs w:val="16"/>
    </w:rPr>
  </w:style>
  <w:style w:type="character" w:styleId="720" w:customStyle="1">
    <w:name w:val="Текст выноски Знак"/>
    <w:basedOn w:val="707"/>
    <w:link w:val="71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character" w:styleId="721" w:customStyle="1">
    <w:name w:val="Заголовок 2 Знак"/>
    <w:basedOn w:val="707"/>
    <w:link w:val="705"/>
    <w:uiPriority w:val="9"/>
    <w:rPr>
      <w:rFonts w:ascii="Times New Roman" w:hAnsi="Times New Roman" w:cs="Times New Roman" w:eastAsia="Times New Roman"/>
      <w:b/>
      <w:bCs/>
      <w:sz w:val="36"/>
      <w:szCs w:val="36"/>
      <w:lang w:eastAsia="ru-RU"/>
    </w:rPr>
  </w:style>
  <w:style w:type="paragraph" w:styleId="722">
    <w:name w:val="Footer"/>
    <w:basedOn w:val="704"/>
    <w:link w:val="72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723" w:customStyle="1">
    <w:name w:val="Нижний колонтитул Знак"/>
    <w:basedOn w:val="707"/>
    <w:link w:val="722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724">
    <w:name w:val="Normal (Web)"/>
    <w:basedOn w:val="704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character" w:styleId="725" w:customStyle="1">
    <w:name w:val="Заголовок 3 Знак"/>
    <w:basedOn w:val="707"/>
    <w:link w:val="706"/>
    <w:uiPriority w:val="9"/>
    <w:rPr>
      <w:rFonts w:asciiTheme="majorHAnsi" w:hAnsiTheme="majorHAnsi" w:eastAsiaTheme="majorEastAsia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D508DB4-77F1-440A-B6EC-FC3E3783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sl.kornilova</dc:creator>
  <cp:keywords/>
  <dc:description/>
  <cp:revision>45</cp:revision>
  <dcterms:created xsi:type="dcterms:W3CDTF">2022-05-24T09:51:00Z</dcterms:created>
  <dcterms:modified xsi:type="dcterms:W3CDTF">2022-09-02T09:06:32Z</dcterms:modified>
</cp:coreProperties>
</file>