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240" w:lineRule="exact"/>
        <w:ind w:firstLine="0" w:left="0"/>
        <w:jc w:val="center"/>
        <w:rPr>
          <w:sz w:val="28"/>
        </w:rPr>
      </w:pPr>
      <w:r>
        <w:rPr>
          <w:sz w:val="28"/>
        </w:rPr>
        <w:t xml:space="preserve">ФИНАНСОВО–ЭКОНОМИЧЕСКОЕ ОБОСНОВАНИЕ </w:t>
      </w:r>
    </w:p>
    <w:p w14:paraId="03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от 03.11.2022 № 2359</w:t>
      </w:r>
      <w:r>
        <w:rPr>
          <w:rFonts w:ascii="Times New Roman" w:hAnsi="Times New Roman"/>
          <w:sz w:val="28"/>
        </w:rPr>
        <w:t xml:space="preserve"> «Об утверждении муниципальной программы «Культура города Ставрополя»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администрации города Ставрополя                               «О внесении изменений в муниципальную программу «Культура города Ставрополя», утвержденную постановлени</w:t>
      </w:r>
      <w:r>
        <w:rPr>
          <w:rFonts w:ascii="Times New Roman" w:hAnsi="Times New Roman"/>
          <w:sz w:val="28"/>
        </w:rPr>
        <w:t>ем администрации города Ставрополя от 03.11.2022 № 2359 «Об утверждении муниципальной программы «Культура города Ставрополя» (далее – Программа) подготовлен в связи с необходимостью корректировки объемов финансирования.</w:t>
      </w:r>
    </w:p>
    <w:p w14:paraId="06000000">
      <w:pPr>
        <w:pStyle w:val="Style_3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Style w:val="Style_4_ch"/>
          <w:rFonts w:ascii="Times New Roman" w:hAnsi="Times New Roman"/>
          <w:sz w:val="28"/>
        </w:rPr>
        <w:t xml:space="preserve">анным проектом предлагается: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Style w:val="Style_4_ch"/>
          <w:rFonts w:ascii="Times New Roman" w:hAnsi="Times New Roman"/>
          <w:sz w:val="28"/>
          <w:u w:val="single"/>
        </w:rPr>
        <w:t>В под</w:t>
      </w:r>
      <w:r>
        <w:rPr>
          <w:rStyle w:val="Style_4_ch"/>
          <w:rFonts w:ascii="Times New Roman" w:hAnsi="Times New Roman"/>
          <w:sz w:val="28"/>
          <w:u w:val="single"/>
        </w:rPr>
        <w:t>программе «Проведение городских и краевых культурно-массовых мероприятий, посвященных</w:t>
      </w:r>
      <w:r>
        <w:rPr>
          <w:rFonts w:ascii="Times New Roman" w:hAnsi="Times New Roman"/>
          <w:sz w:val="28"/>
          <w:u w:val="single"/>
        </w:rPr>
        <w:t xml:space="preserve"> памятным, знаменательным и юбилейным датам в истории России, Ставропольского края, города Ставрополя</w:t>
      </w:r>
      <w:r>
        <w:rPr>
          <w:rFonts w:ascii="Times New Roman" w:hAnsi="Times New Roman"/>
          <w:b w:val="1"/>
          <w:sz w:val="28"/>
          <w:u w:val="single"/>
        </w:rPr>
        <w:t>»: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основному мероприятию «Обеспечение доступности к культурным цен</w:t>
      </w:r>
      <w:r>
        <w:rPr>
          <w:rFonts w:ascii="Times New Roman" w:hAnsi="Times New Roman"/>
          <w:sz w:val="28"/>
        </w:rPr>
        <w:t>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на 2024 год увеличить</w:t>
      </w:r>
      <w:r>
        <w:rPr>
          <w:rFonts w:ascii="Times New Roman" w:hAnsi="Times New Roman"/>
          <w:sz w:val="28"/>
        </w:rPr>
        <w:t xml:space="preserve"> финансирование на 112 тыс. рублей;</w:t>
      </w:r>
    </w:p>
    <w:p w14:paraId="09000000">
      <w:pPr>
        <w:pStyle w:val="Style_3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u w:val="single"/>
        </w:rPr>
        <w:t xml:space="preserve">В подпрограмме «Развитие культуры города Ставрополя» </w:t>
      </w:r>
      <w:r>
        <w:rPr>
          <w:rFonts w:ascii="Times New Roman" w:hAnsi="Times New Roman"/>
          <w:color w:themeColor="text1" w:val="000000"/>
          <w:sz w:val="28"/>
        </w:rPr>
        <w:t>предлагается:</w:t>
      </w:r>
    </w:p>
    <w:p w14:paraId="0A000000">
      <w:pPr>
        <w:widowControl w:val="0"/>
        <w:spacing w:after="0" w:line="240" w:lineRule="auto"/>
        <w:ind w:firstLine="708" w:left="0"/>
        <w:jc w:val="both"/>
        <w:rPr>
          <w:rStyle w:val="Style_5_ch"/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Добавить соисполнителя «комитет по управлению муниципальным имуществом города Ставрополя».</w:t>
      </w:r>
    </w:p>
    <w:p w14:paraId="0B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b w:val="1"/>
          <w:color w:themeColor="text1" w:val="000000"/>
          <w:sz w:val="28"/>
        </w:rPr>
        <w:t>2024</w:t>
      </w:r>
      <w:r>
        <w:rPr>
          <w:rFonts w:ascii="Times New Roman" w:hAnsi="Times New Roman"/>
          <w:color w:themeColor="text1" w:val="000000"/>
          <w:sz w:val="28"/>
        </w:rPr>
        <w:t xml:space="preserve"> год увеличить финансирование </w:t>
      </w:r>
      <w:r>
        <w:rPr>
          <w:rFonts w:ascii="Times New Roman" w:hAnsi="Times New Roman"/>
          <w:sz w:val="28"/>
        </w:rPr>
        <w:t>на 9</w:t>
      </w:r>
      <w:r>
        <w:rPr>
          <w:rFonts w:ascii="Times New Roman" w:hAnsi="Times New Roman"/>
          <w:sz w:val="28"/>
        </w:rPr>
        <w:t> 560,99</w:t>
      </w:r>
      <w:r>
        <w:rPr>
          <w:rFonts w:ascii="Times New Roman" w:hAnsi="Times New Roman"/>
          <w:sz w:val="28"/>
        </w:rPr>
        <w:t xml:space="preserve"> тыс. рублей, из них: </w:t>
      </w:r>
    </w:p>
    <w:p w14:paraId="0C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муниципальных  учреждений доп</w:t>
      </w:r>
      <w:r>
        <w:rPr>
          <w:rFonts w:ascii="Times New Roman" w:hAnsi="Times New Roman"/>
          <w:sz w:val="27"/>
        </w:rPr>
        <w:t>олнительного образования в сфере культуры города Ставрополя» уменьшить финансирование за счет средств бюджета города Ставрополя  на сумму  607,24 тыс. рублей;</w:t>
      </w:r>
    </w:p>
    <w:p w14:paraId="0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муниципальных учреждений культурно-досуговог</w:t>
      </w:r>
      <w:r>
        <w:rPr>
          <w:rFonts w:ascii="Times New Roman" w:hAnsi="Times New Roman"/>
          <w:sz w:val="27"/>
        </w:rPr>
        <w:t xml:space="preserve">о типа» уменьшить финансирование </w:t>
      </w:r>
      <w:r>
        <w:rPr>
          <w:rFonts w:ascii="Times New Roman" w:hAnsi="Times New Roman"/>
          <w:color w:themeColor="text1" w:val="000000"/>
          <w:sz w:val="27"/>
        </w:rPr>
        <w:t>за счет средств бюджета города Ставрополя</w:t>
      </w:r>
      <w:r>
        <w:rPr>
          <w:rFonts w:ascii="Times New Roman" w:hAnsi="Times New Roman"/>
          <w:sz w:val="27"/>
        </w:rPr>
        <w:t xml:space="preserve"> на сумму 469,54 тыс. рублей;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 муниципальных учреждений, осуществляющих библиотечное обслуживание» увеличить финансирование </w:t>
      </w:r>
      <w:r>
        <w:rPr>
          <w:rFonts w:ascii="Times New Roman" w:hAnsi="Times New Roman"/>
          <w:color w:themeColor="text1" w:val="000000"/>
          <w:sz w:val="27"/>
        </w:rPr>
        <w:t>за с</w:t>
      </w:r>
      <w:r>
        <w:rPr>
          <w:rFonts w:ascii="Times New Roman" w:hAnsi="Times New Roman"/>
          <w:color w:themeColor="text1" w:val="000000"/>
          <w:sz w:val="27"/>
        </w:rPr>
        <w:t xml:space="preserve">чет средств бюджета города Ставрополя </w:t>
      </w:r>
      <w:r>
        <w:rPr>
          <w:rFonts w:ascii="Times New Roman" w:hAnsi="Times New Roman"/>
          <w:sz w:val="27"/>
        </w:rPr>
        <w:t xml:space="preserve"> на сумму 2 067,75 тыс. рублей;</w:t>
      </w:r>
    </w:p>
    <w:p w14:paraId="0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 муниципальных учреждений, осуществляющих театрально-концертную деятельность» увеличить финансирование  </w:t>
      </w:r>
      <w:r>
        <w:rPr>
          <w:rFonts w:ascii="Times New Roman" w:hAnsi="Times New Roman"/>
          <w:color w:themeColor="text1" w:val="000000"/>
          <w:sz w:val="27"/>
        </w:rPr>
        <w:t>за счет средств бюджета город</w:t>
      </w:r>
      <w:r>
        <w:rPr>
          <w:rFonts w:ascii="Times New Roman" w:hAnsi="Times New Roman"/>
          <w:color w:themeColor="text1" w:val="000000"/>
          <w:sz w:val="27"/>
        </w:rPr>
        <w:t xml:space="preserve">а Ставрополя </w:t>
      </w:r>
      <w:r>
        <w:rPr>
          <w:rFonts w:ascii="Times New Roman" w:hAnsi="Times New Roman"/>
          <w:sz w:val="27"/>
        </w:rPr>
        <w:t xml:space="preserve"> на сумму 151,14 тыс. рублей;</w:t>
      </w:r>
    </w:p>
    <w:p w14:paraId="1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</w:t>
      </w:r>
      <w:r>
        <w:rPr>
          <w:rFonts w:ascii="Times New Roman" w:hAnsi="Times New Roman"/>
          <w:sz w:val="27"/>
        </w:rPr>
        <w:t>города Став</w:t>
      </w:r>
      <w:r>
        <w:rPr>
          <w:rFonts w:ascii="Times New Roman" w:hAnsi="Times New Roman"/>
          <w:sz w:val="27"/>
        </w:rPr>
        <w:t>рополя в фестивалях и конкурсах исполнительского мастерства» увеличить финансирование за счет средств бюджета города Ставрополя  на сумму 103,74 тыс. рублей;</w:t>
      </w:r>
    </w:p>
    <w:p w14:paraId="1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 основному мероприятию «Модернизация муниципальных учреждений в сфере культуры, совершенствова</w:t>
      </w:r>
      <w:r>
        <w:rPr>
          <w:rFonts w:ascii="Times New Roman" w:hAnsi="Times New Roman"/>
          <w:sz w:val="28"/>
        </w:rPr>
        <w:t>ние материально-технической базы, проведение ремонтных работ (за исключением объектов культурного наследия (памятников истории и культуры)» увеличит</w:t>
      </w:r>
      <w:r>
        <w:rPr>
          <w:rFonts w:ascii="Times New Roman" w:hAnsi="Times New Roman"/>
          <w:sz w:val="28"/>
        </w:rPr>
        <w:t>ь финансирование на сумму 860,10</w:t>
      </w:r>
      <w:r>
        <w:rPr>
          <w:rFonts w:ascii="Times New Roman" w:hAnsi="Times New Roman"/>
          <w:sz w:val="28"/>
        </w:rPr>
        <w:t xml:space="preserve"> тыс. рублей;</w:t>
      </w:r>
    </w:p>
    <w:p w14:paraId="12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 основному мероприятию «Сохранение объектов культурного на</w:t>
      </w:r>
      <w:r>
        <w:rPr>
          <w:rFonts w:ascii="Times New Roman" w:hAnsi="Times New Roman"/>
          <w:sz w:val="28"/>
        </w:rPr>
        <w:t>следия (памятников истории и культуры), находящихся в муниципальной собственности города Ставрополя» увеличить финансирование на сумму                7 455,04 тыс. рублей;</w:t>
      </w:r>
    </w:p>
    <w:p w14:paraId="1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необходимо добавить показатель (индикатор):</w:t>
      </w:r>
    </w:p>
    <w:p w14:paraId="14000000">
      <w:pPr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«количество объектов культурного наследия, в отношении которых проведен ремонт, восстановление и реставрация» на 2024 году в количестве           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единицы.</w:t>
      </w:r>
    </w:p>
    <w:p w14:paraId="15000000">
      <w:pPr>
        <w:pStyle w:val="Style_3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2025 – 2028 </w:t>
      </w:r>
      <w:r>
        <w:rPr>
          <w:rFonts w:ascii="Times New Roman" w:hAnsi="Times New Roman"/>
          <w:color w:themeColor="text1" w:val="000000"/>
          <w:sz w:val="28"/>
        </w:rPr>
        <w:t xml:space="preserve">годы: </w:t>
      </w:r>
    </w:p>
    <w:p w14:paraId="1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 по основному мероприятию «Обеспечение деятельности </w:t>
      </w:r>
      <w:r>
        <w:rPr>
          <w:rFonts w:ascii="Times New Roman" w:hAnsi="Times New Roman"/>
          <w:sz w:val="27"/>
        </w:rPr>
        <w:t>муниципальных  учреждений культурно-</w:t>
      </w:r>
      <w:r>
        <w:rPr>
          <w:rFonts w:ascii="Times New Roman" w:hAnsi="Times New Roman"/>
          <w:sz w:val="27"/>
        </w:rPr>
        <w:t>досугвого</w:t>
      </w:r>
      <w:r>
        <w:rPr>
          <w:rFonts w:ascii="Times New Roman" w:hAnsi="Times New Roman"/>
          <w:sz w:val="27"/>
        </w:rPr>
        <w:t xml:space="preserve"> типа» уменьшить финансирование на сумму 135,00 тыс. рублей, ежегодно;</w:t>
      </w:r>
    </w:p>
    <w:p w14:paraId="1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sz w:val="27"/>
        </w:rPr>
        <w:t>- по основному мероприятию «Обеспечение деятельности  муниципальных учреждений, осуществляющих библиотечное обслуживание» увеличить финансир</w:t>
      </w:r>
      <w:r>
        <w:rPr>
          <w:rFonts w:ascii="Times New Roman" w:hAnsi="Times New Roman"/>
          <w:sz w:val="27"/>
        </w:rPr>
        <w:t>ование на сумму 200,00 тыс. рублей, ежегодно.</w:t>
      </w:r>
    </w:p>
    <w:p w14:paraId="18000000">
      <w:pPr>
        <w:pStyle w:val="Style_3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основании вышеизложенного, считаем необходимым принятие данного </w:t>
      </w:r>
      <w:r>
        <w:rPr>
          <w:rFonts w:ascii="Times New Roman" w:hAnsi="Times New Roman"/>
          <w:color w:themeColor="text1" w:val="000000"/>
          <w:sz w:val="28"/>
        </w:rPr>
        <w:t>проекта постановления администрации города Ставрополя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19000000">
      <w:pPr>
        <w:spacing w:after="0" w:line="240" w:lineRule="exact"/>
        <w:ind w:firstLine="709" w:left="0"/>
        <w:jc w:val="both"/>
        <w:rPr>
          <w:rFonts w:ascii="Times New Roman" w:hAnsi="Times New Roman"/>
          <w:b w:val="1"/>
          <w:color w:themeColor="text1" w:val="000000"/>
          <w:sz w:val="24"/>
        </w:rPr>
      </w:pPr>
    </w:p>
    <w:p w14:paraId="1A000000">
      <w:pPr>
        <w:spacing w:after="0" w:line="240" w:lineRule="exact"/>
        <w:ind w:firstLine="709" w:left="0"/>
        <w:jc w:val="both"/>
        <w:rPr>
          <w:rFonts w:ascii="Times New Roman" w:hAnsi="Times New Roman"/>
          <w:b w:val="1"/>
          <w:color w:themeColor="text1" w:val="000000"/>
          <w:sz w:val="24"/>
        </w:rPr>
      </w:pPr>
    </w:p>
    <w:p w14:paraId="1B000000">
      <w:pPr>
        <w:spacing w:after="0" w:line="240" w:lineRule="exact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>Руководитель комитета культуры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>и молодежной политики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7"/>
        </w:rPr>
      </w:pPr>
      <w:r>
        <w:rPr>
          <w:rFonts w:ascii="Times New Roman" w:hAnsi="Times New Roman"/>
          <w:color w:themeColor="text1" w:val="000000"/>
          <w:sz w:val="27"/>
        </w:rPr>
        <w:t xml:space="preserve">администрации города Ставрополя                                      </w:t>
      </w:r>
      <w:r>
        <w:rPr>
          <w:rFonts w:ascii="Times New Roman" w:hAnsi="Times New Roman"/>
          <w:color w:themeColor="text1" w:val="000000"/>
          <w:sz w:val="27"/>
        </w:rPr>
        <w:t xml:space="preserve">               Н.П. Головин</w:t>
      </w:r>
    </w:p>
    <w:p w14:paraId="1F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0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1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2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3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4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5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6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7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8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9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A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B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C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D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E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2F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0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1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2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3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4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  <w:bookmarkStart w:id="1" w:name="_GoBack"/>
      <w:bookmarkEnd w:id="1"/>
    </w:p>
    <w:p w14:paraId="35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6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7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38000000">
      <w:pPr>
        <w:spacing w:line="240" w:lineRule="auto"/>
        <w:ind/>
        <w:contextualSpacing w:val="1"/>
        <w:jc w:val="both"/>
        <w:rPr>
          <w:rFonts w:ascii="Times New Roman" w:hAnsi="Times New Roman"/>
          <w:color w:themeColor="text1" w:val="000000"/>
          <w:sz w:val="16"/>
        </w:rPr>
      </w:pPr>
      <w:r>
        <w:rPr>
          <w:rFonts w:ascii="Times New Roman" w:hAnsi="Times New Roman"/>
          <w:color w:themeColor="text1" w:val="000000"/>
          <w:sz w:val="16"/>
        </w:rPr>
        <w:t xml:space="preserve">Н.П. </w:t>
      </w:r>
      <w:r>
        <w:rPr>
          <w:rFonts w:ascii="Times New Roman" w:hAnsi="Times New Roman"/>
          <w:color w:themeColor="text1" w:val="000000"/>
          <w:sz w:val="16"/>
        </w:rPr>
        <w:t>Тулиева</w:t>
      </w:r>
    </w:p>
    <w:p w14:paraId="39000000">
      <w:pPr>
        <w:spacing w:line="240" w:lineRule="auto"/>
        <w:ind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color w:themeColor="text1" w:val="000000"/>
          <w:sz w:val="16"/>
        </w:rPr>
        <w:t>99-82-80 (1916)</w:t>
      </w:r>
    </w:p>
    <w:sectPr>
      <w:headerReference r:id="rId1" w:type="default"/>
      <w:pgSz w:h="16838" w:orient="portrait" w:w="11906"/>
      <w:pgMar w:bottom="1135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No Spacing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No Spacing"/>
    <w:link w:val="Style_14"/>
    <w:rPr>
      <w:rFonts w:ascii="Calibri" w:hAnsi="Calibri"/>
    </w:rPr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Заголовок 5 Знак"/>
    <w:link w:val="Style_16_ch"/>
    <w:rPr>
      <w:rFonts w:ascii="XO Thames" w:hAnsi="XO Thames"/>
      <w:b w:val="1"/>
      <w:sz w:val="22"/>
    </w:rPr>
  </w:style>
  <w:style w:styleId="Style_16_ch" w:type="character">
    <w:name w:val="Заголовок 5 Знак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Body Text Indent"/>
    <w:basedOn w:val="Style_4"/>
    <w:link w:val="Style_25_ch"/>
    <w:pPr>
      <w:spacing w:after="120" w:line="240" w:lineRule="auto"/>
      <w:ind w:firstLine="0" w:left="283"/>
    </w:pPr>
    <w:rPr>
      <w:rFonts w:ascii="Times New Roman" w:hAnsi="Times New Roman"/>
      <w:sz w:val="28"/>
    </w:rPr>
  </w:style>
  <w:style w:styleId="Style_25_ch" w:type="character">
    <w:name w:val="Body Text Indent"/>
    <w:basedOn w:val="Style_4_ch"/>
    <w:link w:val="Style_25"/>
    <w:rPr>
      <w:rFonts w:ascii="Times New Roman" w:hAnsi="Times New Roman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 Indent 2"/>
    <w:basedOn w:val="Style_4"/>
    <w:link w:val="Style_30_ch"/>
    <w:pPr>
      <w:spacing w:after="120" w:line="480" w:lineRule="auto"/>
      <w:ind w:firstLine="0" w:left="283"/>
    </w:pPr>
    <w:rPr>
      <w:rFonts w:ascii="Times New Roman" w:hAnsi="Times New Roman"/>
      <w:sz w:val="28"/>
    </w:rPr>
  </w:style>
  <w:style w:styleId="Style_30_ch" w:type="character">
    <w:name w:val="Body Text Indent 2"/>
    <w:basedOn w:val="Style_4_ch"/>
    <w:link w:val="Style_30"/>
    <w:rPr>
      <w:rFonts w:ascii="Times New Roman" w:hAnsi="Times New Roman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2" w:type="paragraph">
    <w:name w:val="List Paragraph"/>
    <w:basedOn w:val="Style_4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4_ch"/>
    <w:link w:val="Style_2"/>
    <w:rPr>
      <w:rFonts w:ascii="Times New Roman" w:hAnsi="Times New Roman"/>
      <w:sz w:val="24"/>
    </w:rPr>
  </w:style>
  <w:style w:styleId="Style_32" w:type="paragraph">
    <w:name w:val="Title"/>
    <w:basedOn w:val="Style_4"/>
    <w:link w:val="Style_32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32_ch" w:type="character">
    <w:name w:val="Title"/>
    <w:basedOn w:val="Style_4_ch"/>
    <w:link w:val="Style_32"/>
    <w:rPr>
      <w:rFonts w:ascii="Times New Roman" w:hAnsi="Times New Roman"/>
      <w:spacing w:val="-20"/>
      <w:sz w:val="36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2024-06-10T11:04:40Z</dcterms:modified>
</cp:coreProperties>
</file>